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3A8A"/>
          <w:sz w:val="44"/>
        </w:rPr>
        <w:t>Text Summarization &amp; Synthesis Report</w:t>
      </w:r>
    </w:p>
    <w:p>
      <w:pPr>
        <w:spacing w:after="280"/>
      </w:pPr>
      <w:r>
        <w:rPr>
          <w:i/>
          <w:color w:val="3B82F6"/>
          <w:sz w:val="24"/>
        </w:rPr>
        <w:t>Automated AI Condensation, Key Takeaways &amp; Comparative Analysis</w:t>
        <w:br/>
      </w:r>
      <w:r>
        <w:rPr>
          <w:color w:val="6B7280"/>
          <w:sz w:val="19"/>
        </w:rPr>
        <w:t>Processed with: LLM Text Analyzer  |  Compression Ratio: 68% Reduction  |  Output: Executive Summary</w:t>
      </w:r>
    </w:p>
    <w:p>
      <w:pPr>
        <w:spacing w:after="280"/>
        <w:pBdr>
          <w:bottom w:val="single" w:sz="16" w:space="1" w:color="1E3A8A"/>
        </w:pBdr>
      </w:pPr>
    </w:p>
    <w:p>
      <w:pPr>
        <w:spacing w:before="280" w:after="80"/>
      </w:pPr>
      <w:r>
        <w:rPr>
          <w:b/>
          <w:color w:val="1E3A8A"/>
          <w:sz w:val="27"/>
        </w:rPr>
        <w:t>1. Original Text Passage</w:t>
      </w:r>
    </w:p>
    <w:p>
      <w:r>
        <w:t>The passage below represents a standard long-form industry briefing detailing modern cloud data architecture and distributed computing challenges:</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Borders>
              <w:top w:val="none"/>
              <w:left w:val="single" w:sz="18" w:color="9CA3AF" w:space="0"/>
              <w:bottom w:val="none"/>
              <w:right w:val="none"/>
            </w:tcBorders>
          </w:tcPr>
          <w:p>
            <w:pPr>
              <w:spacing w:after="0"/>
            </w:pPr>
            <w:r>
              <w:rPr>
                <w:i/>
                <w:color w:val="1F2937"/>
                <w:sz w:val="20"/>
              </w:rPr>
              <w:t>"Modern distributed computing environments have undergone radical changes over the last decade, transitioning from monolithic server topologies to decoupled microservices and serverless paradigms. While these modern cloud architectures yield unprecedented scalability, fault tolerance, and operational flexibility, they concurrently introduce significant complexities in network observability, distributed state management, and multi-tenant security isolation. Engineering teams frequently experience heightened cognitive load and alert fatigue due to fragmented telemetry streams scattered across dozens of containerized environments. Consequently, organizations must adopt automated, AI-driven root-cause detection, centralized observability data lakes, and unified identity governance frameworks to rein in infrastructure expenditure and maintain high system reliability."</w:t>
            </w:r>
          </w:p>
        </w:tc>
      </w:tr>
    </w:tbl>
    <w:p>
      <w:pPr>
        <w:spacing w:before="120"/>
      </w:pPr>
    </w:p>
    <w:p>
      <w:pPr>
        <w:spacing w:before="280" w:after="80"/>
      </w:pPr>
      <w:r>
        <w:rPr>
          <w:b/>
          <w:color w:val="1E3A8A"/>
          <w:sz w:val="27"/>
        </w:rPr>
        <w:t>2. AI-Generated Executive Summary</w:t>
      </w:r>
    </w:p>
    <w:p>
      <w:r>
        <w:t>Synthesized into an executive-level summary highlighting core tension and recommended resolution:</w:t>
      </w:r>
    </w:p>
    <w:tbl>
      <w:tblPr>
        <w:tblW w:type="auto" w:w="0"/>
        <w:jc w:val="center"/>
        <w:tblLayout w:type="fixed"/>
        <w:tblLook w:firstColumn="1" w:firstRow="1" w:lastColumn="0" w:lastRow="0" w:noHBand="0" w:noVBand="1" w:val="04A0"/>
      </w:tblPr>
      <w:tblGrid>
        <w:gridCol w:w="9360"/>
      </w:tblGrid>
      <w:tr>
        <w:tc>
          <w:tcPr>
            <w:tcW w:type="dxa" w:w="9360"/>
            <w:shd w:fill="EFF6FF"/>
            <w:tcMar>
              <w:top w:w="160" w:type="dxa"/>
              <w:bottom w:w="160" w:type="dxa"/>
              <w:left w:w="180" w:type="dxa"/>
              <w:right w:w="180" w:type="dxa"/>
            </w:tcMar>
            <w:tcBorders>
              <w:top w:val="none"/>
              <w:left w:val="single" w:sz="24" w:color="1E3A8A" w:space="0"/>
              <w:bottom w:val="none"/>
              <w:right w:val="none"/>
            </w:tcBorders>
          </w:tcPr>
          <w:p>
            <w:pPr>
              <w:spacing w:after="80"/>
            </w:pPr>
            <w:r>
              <w:rPr>
                <w:b/>
                <w:color w:val="1E3A8A"/>
                <w:sz w:val="20"/>
              </w:rPr>
              <w:t>CONCISE SUMMARY (52 WORDS)</w:t>
              <w:br/>
            </w:r>
            <w:r>
              <w:rPr>
                <w:color w:val="1F2937"/>
                <w:sz w:val="21"/>
              </w:rPr>
              <w:t>Although distributed cloud architectures provide massive scalability and flexibility, they create heavy observability and security challenges that overwhelm engineering teams with telemetry fatigue. To preserve system reliability and control infrastructure costs, organizations must implement centralized observability platforms, unified identity access controls, and AI-driven automated root-cause detection.</w:t>
            </w:r>
          </w:p>
        </w:tc>
      </w:tr>
    </w:tbl>
    <w:p>
      <w:pPr>
        <w:spacing w:before="120"/>
      </w:pPr>
    </w:p>
    <w:p>
      <w:pPr>
        <w:spacing w:before="280" w:after="80"/>
      </w:pPr>
      <w:r>
        <w:rPr>
          <w:b/>
          <w:color w:val="1E3A8A"/>
          <w:sz w:val="27"/>
        </w:rPr>
        <w:t>3. Structured Bullet Takeaways</w:t>
      </w:r>
    </w:p>
    <w:p>
      <w:r>
        <w:t>Core takeaways distilled from the source material:</w:t>
      </w:r>
    </w:p>
    <w:p>
      <w:pPr>
        <w:pStyle w:val="ListBullet"/>
      </w:pPr>
      <w:r>
        <w:rPr>
          <w:b/>
          <w:color w:val="1E3A8A"/>
        </w:rPr>
        <w:t xml:space="preserve">Core Advantage: </w:t>
      </w:r>
      <w:r>
        <w:t>Microservices and serverless architectures deliver superior scalability and resilience compared to legacy monoliths.</w:t>
      </w:r>
    </w:p>
    <w:p>
      <w:pPr>
        <w:pStyle w:val="ListBullet"/>
      </w:pPr>
      <w:r>
        <w:rPr>
          <w:b/>
          <w:color w:val="1E3A8A"/>
        </w:rPr>
        <w:t xml:space="preserve">Primary Bottleneck: </w:t>
      </w:r>
      <w:r>
        <w:t>Scattered telemetry and distributed state lead to engineering alert fatigue and complex troubleshooting cycles.</w:t>
      </w:r>
    </w:p>
    <w:p>
      <w:pPr>
        <w:pStyle w:val="ListBullet"/>
      </w:pPr>
      <w:r>
        <w:rPr>
          <w:b/>
          <w:color w:val="1E3A8A"/>
        </w:rPr>
        <w:t xml:space="preserve">Strategic Remedy: </w:t>
      </w:r>
      <w:r>
        <w:t>Deploy unified observability data lakes and AI-assisted root-cause anomaly detection to safeguard system uptime.</w:t>
      </w:r>
    </w:p>
    <w:p>
      <w:pPr>
        <w:pStyle w:val="ListBullet"/>
      </w:pPr>
      <w:r>
        <w:rPr>
          <w:b/>
          <w:color w:val="1E3A8A"/>
        </w:rPr>
        <w:t xml:space="preserve">Governance Mandate: </w:t>
      </w:r>
      <w:r>
        <w:t>Enforce centralized multi-tenant identity controls to curb operational spending and security risks.</w:t>
      </w:r>
    </w:p>
    <w:p>
      <w:pPr>
        <w:spacing w:before="280" w:after="80"/>
      </w:pPr>
      <w:r>
        <w:rPr>
          <w:b/>
          <w:color w:val="1E3A8A"/>
          <w:sz w:val="27"/>
        </w:rPr>
        <w:t>4. Transformation &amp; Compression Metrics</w:t>
      </w:r>
    </w:p>
    <w:tbl>
      <w:tblPr>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2592"/>
            <w:shd w:fill="1E3A8A"/>
            <w:tcMar>
              <w:top w:w="100" w:type="dxa"/>
              <w:bottom w:w="100" w:type="dxa"/>
              <w:left w:w="120" w:type="dxa"/>
              <w:right w:w="120" w:type="dxa"/>
            </w:tcMar>
            <w:tcBorders>
              <w:top w:val="single" w:sz="6" w:color="D1D5DB" w:space="0"/>
              <w:left w:val="none"/>
              <w:bottom w:val="single" w:sz="6" w:color="D1D5DB" w:space="0"/>
              <w:right w:val="none"/>
            </w:tcBorders>
          </w:tcPr>
          <w:p>
            <w:pPr>
              <w:spacing w:before="40" w:after="40"/>
            </w:pPr>
            <w:r>
              <w:rPr>
                <w:b/>
                <w:color w:val="FFFFFF"/>
                <w:sz w:val="19"/>
              </w:rPr>
              <w:t>Metric</w:t>
            </w:r>
          </w:p>
        </w:tc>
        <w:tc>
          <w:tcPr>
            <w:tcW w:type="dxa" w:w="2160"/>
            <w:shd w:fill="1E3A8A"/>
            <w:tcMar>
              <w:top w:w="100" w:type="dxa"/>
              <w:bottom w:w="100" w:type="dxa"/>
              <w:left w:w="120" w:type="dxa"/>
              <w:right w:w="120" w:type="dxa"/>
            </w:tcMar>
            <w:tcBorders>
              <w:top w:val="single" w:sz="6" w:color="D1D5DB" w:space="0"/>
              <w:left w:val="none"/>
              <w:bottom w:val="single" w:sz="6" w:color="D1D5DB" w:space="0"/>
              <w:right w:val="none"/>
            </w:tcBorders>
          </w:tcPr>
          <w:p>
            <w:pPr>
              <w:spacing w:before="40" w:after="40"/>
            </w:pPr>
            <w:r>
              <w:rPr>
                <w:b/>
                <w:color w:val="FFFFFF"/>
                <w:sz w:val="19"/>
              </w:rPr>
              <w:t>Original Paragraph</w:t>
            </w:r>
          </w:p>
        </w:tc>
        <w:tc>
          <w:tcPr>
            <w:tcW w:type="dxa" w:w="2304"/>
            <w:shd w:fill="1E3A8A"/>
            <w:tcMar>
              <w:top w:w="100" w:type="dxa"/>
              <w:bottom w:w="100" w:type="dxa"/>
              <w:left w:w="120" w:type="dxa"/>
              <w:right w:w="120" w:type="dxa"/>
            </w:tcMar>
            <w:tcBorders>
              <w:top w:val="single" w:sz="6" w:color="D1D5DB" w:space="0"/>
              <w:left w:val="none"/>
              <w:bottom w:val="single" w:sz="6" w:color="D1D5DB" w:space="0"/>
              <w:right w:val="none"/>
            </w:tcBorders>
          </w:tcPr>
          <w:p>
            <w:pPr>
              <w:spacing w:before="40" w:after="40"/>
            </w:pPr>
            <w:r>
              <w:rPr>
                <w:b/>
                <w:color w:val="FFFFFF"/>
                <w:sz w:val="19"/>
              </w:rPr>
              <w:t>Summarized Version</w:t>
            </w:r>
          </w:p>
        </w:tc>
        <w:tc>
          <w:tcPr>
            <w:tcW w:type="dxa" w:w="2304"/>
            <w:shd w:fill="1E3A8A"/>
            <w:tcMar>
              <w:top w:w="100" w:type="dxa"/>
              <w:bottom w:w="100" w:type="dxa"/>
              <w:left w:w="120" w:type="dxa"/>
              <w:right w:w="120" w:type="dxa"/>
            </w:tcMar>
            <w:tcBorders>
              <w:top w:val="single" w:sz="6" w:color="D1D5DB" w:space="0"/>
              <w:left w:val="none"/>
              <w:bottom w:val="single" w:sz="6" w:color="D1D5DB" w:space="0"/>
              <w:right w:val="none"/>
            </w:tcBorders>
          </w:tcPr>
          <w:p>
            <w:pPr>
              <w:spacing w:before="40" w:after="40"/>
            </w:pPr>
            <w:r>
              <w:rPr>
                <w:b/>
                <w:color w:val="FFFFFF"/>
                <w:sz w:val="19"/>
              </w:rPr>
              <w:t>Efficiency Variance</w:t>
            </w:r>
          </w:p>
        </w:tc>
      </w:tr>
      <w:tr>
        <w:trPr>
          <w:cantSplit/>
        </w:trPr>
        <w:tc>
          <w:tcPr>
            <w:tcW w:type="dxa" w:w="2592"/>
            <w:shd w:fill="F9FAFB"/>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Word Count</w:t>
            </w:r>
          </w:p>
        </w:tc>
        <w:tc>
          <w:tcPr>
            <w:tcW w:type="dxa" w:w="2160"/>
            <w:shd w:fill="F9FAFB"/>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136 words</w:t>
            </w:r>
          </w:p>
        </w:tc>
        <w:tc>
          <w:tcPr>
            <w:tcW w:type="dxa" w:w="2304"/>
            <w:shd w:fill="F9FAFB"/>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44 words</w:t>
            </w:r>
          </w:p>
        </w:tc>
        <w:tc>
          <w:tcPr>
            <w:tcW w:type="dxa" w:w="2304"/>
            <w:shd w:fill="F9FAFB"/>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-67.6% (Concise)</w:t>
            </w:r>
          </w:p>
        </w:tc>
      </w:tr>
      <w:tr>
        <w:trPr>
          <w:cantSplit/>
        </w:trPr>
        <w:tc>
          <w:tcPr>
            <w:tcW w:type="dxa" w:w="2592"/>
            <w:shd w:fill="FFFFFF"/>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Character Count</w:t>
            </w:r>
          </w:p>
        </w:tc>
        <w:tc>
          <w:tcPr>
            <w:tcW w:type="dxa" w:w="2160"/>
            <w:shd w:fill="FFFFFF"/>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982 characters</w:t>
            </w:r>
          </w:p>
        </w:tc>
        <w:tc>
          <w:tcPr>
            <w:tcW w:type="dxa" w:w="2304"/>
            <w:shd w:fill="FFFFFF"/>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318 characters</w:t>
            </w:r>
          </w:p>
        </w:tc>
        <w:tc>
          <w:tcPr>
            <w:tcW w:type="dxa" w:w="2304"/>
            <w:shd w:fill="FFFFFF"/>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-67.6%</w:t>
            </w:r>
          </w:p>
        </w:tc>
      </w:tr>
      <w:tr>
        <w:trPr>
          <w:cantSplit/>
        </w:trPr>
        <w:tc>
          <w:tcPr>
            <w:tcW w:type="dxa" w:w="2592"/>
            <w:shd w:fill="F9FAFB"/>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Reading Time (200 wpm)</w:t>
            </w:r>
          </w:p>
        </w:tc>
        <w:tc>
          <w:tcPr>
            <w:tcW w:type="dxa" w:w="2160"/>
            <w:shd w:fill="F9FAFB"/>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~41 seconds</w:t>
            </w:r>
          </w:p>
        </w:tc>
        <w:tc>
          <w:tcPr>
            <w:tcW w:type="dxa" w:w="2304"/>
            <w:shd w:fill="F9FAFB"/>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~13 seconds</w:t>
            </w:r>
          </w:p>
        </w:tc>
        <w:tc>
          <w:tcPr>
            <w:tcW w:type="dxa" w:w="2304"/>
            <w:shd w:fill="F9FAFB"/>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28 seconds saved</w:t>
            </w:r>
          </w:p>
        </w:tc>
      </w:tr>
      <w:tr>
        <w:trPr>
          <w:cantSplit/>
        </w:trPr>
        <w:tc>
          <w:tcPr>
            <w:tcW w:type="dxa" w:w="2592"/>
            <w:shd w:fill="FFFFFF"/>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Flesch-Kincaid Level</w:t>
            </w:r>
          </w:p>
        </w:tc>
        <w:tc>
          <w:tcPr>
            <w:tcW w:type="dxa" w:w="2160"/>
            <w:shd w:fill="FFFFFF"/>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Grade 16.2 (Dense)</w:t>
            </w:r>
          </w:p>
        </w:tc>
        <w:tc>
          <w:tcPr>
            <w:tcW w:type="dxa" w:w="2304"/>
            <w:shd w:fill="FFFFFF"/>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Grade 11.4 (Accessible)</w:t>
            </w:r>
          </w:p>
        </w:tc>
        <w:tc>
          <w:tcPr>
            <w:tcW w:type="dxa" w:w="2304"/>
            <w:shd w:fill="FFFFFF"/>
            <w:tcMar>
              <w:top w:w="100" w:type="dxa"/>
              <w:bottom w:w="100" w:type="dxa"/>
              <w:left w:w="120" w:type="dxa"/>
              <w:right w:w="120" w:type="dxa"/>
            </w:tcMar>
            <w:tcBorders>
              <w:top w:val="none"/>
              <w:left w:val="none"/>
              <w:bottom w:val="single" w:sz="6" w:color="D1D5DB" w:space="0"/>
              <w:right w:val="none"/>
            </w:tcBorders>
          </w:tcPr>
          <w:p>
            <w:pPr>
              <w:spacing w:before="40" w:after="40"/>
            </w:pPr>
            <w:r>
              <w:rPr>
                <w:color w:val="1F2937"/>
                <w:sz w:val="19"/>
              </w:rPr>
              <w:t>+29% Readability</w:t>
            </w:r>
          </w:p>
        </w:tc>
      </w:tr>
    </w:tbl>
    <w:p>
      <w:pPr>
        <w:spacing w:before="160"/>
      </w:pPr>
    </w:p>
    <w:p>
      <w:pPr>
        <w:spacing w:before="280" w:after="80"/>
      </w:pPr>
      <w:r>
        <w:rPr>
          <w:b/>
          <w:color w:val="1E3A8A"/>
          <w:sz w:val="27"/>
        </w:rPr>
        <w:t>5. Methodology &amp; Prompt Template</w:t>
      </w:r>
    </w:p>
    <w:p>
      <w:r>
        <w:t>To replicate or adapt this summarization workflow across custom organizational content, the following prompt template and extraction settings were utilized: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color="E2E8F0" w:space="0"/>
              <w:left w:val="single" w:sz="12" w:color="3B82F6" w:space="0"/>
              <w:bottom w:val="single" w:sz="6" w:color="E2E8F0" w:space="0"/>
              <w:right w:val="single" w:sz="6" w:color="E2E8F0" w:space="0"/>
            </w:tcBorders>
          </w:tcPr>
          <w:p>
            <w:pPr>
              <w:spacing w:after="0"/>
            </w:pPr>
            <w:r>
              <w:rPr>
                <w:rFonts w:ascii="Consolas" w:hAnsi="Consolas"/>
                <w:color w:val="1F2937"/>
                <w:sz w:val="19"/>
              </w:rPr>
              <w:t>PROMPT: "Act as an executive editor. Analyze the provided passage and produce: (1) A 2-to-3 sentence executive synthesis retaining core technical trade-offs and solutions, (2) Four high-impact key takeaway bullet points, and (3) A word reduction and readability metric table. Maintain formal professional tone."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