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4"/>
        </w:rPr>
        <w:t>Executive Report: Artificial Intelligence in Modern Business</w:t>
      </w:r>
    </w:p>
    <w:p>
      <w:pPr>
        <w:spacing w:after="320"/>
      </w:pPr>
      <w:r>
        <w:rPr>
          <w:i/>
          <w:color w:val="46728C"/>
          <w:sz w:val="24"/>
        </w:rPr>
        <w:t>Strategic Value, Enterprise Adoption Trends &amp; Implementation Framework</w:t>
        <w:br/>
      </w:r>
      <w:r>
        <w:rPr>
          <w:color w:val="646E7D"/>
          <w:sz w:val="19"/>
        </w:rPr>
        <w:t>Prepared by: Applied AI Research Unit  |  Publication Date: October 2026  |  Classification: Executive Briefing</w:t>
      </w:r>
    </w:p>
    <w:p>
      <w:pPr>
        <w:spacing w:after="280"/>
        <w:pBdr>
          <w:bottom w:val="single" w:sz="18" w:space="1" w:color="1B365D"/>
        </w:pBdr>
      </w:pPr>
    </w:p>
    <w:tbl>
      <w:tblPr>
        <w:tblW w:type="auto" w:w="0"/>
        <w:jc w:val="center"/>
        <w:tblLook w:firstColumn="1" w:firstRow="1" w:lastColumn="0" w:lastRow="0" w:noHBand="0" w:noVBand="1" w:val="04A0"/>
      </w:tblPr>
      <w:tblGrid>
        <w:gridCol w:w="9360"/>
      </w:tblGrid>
      <w:tr>
        <w:tc>
          <w:tcPr>
            <w:tcW w:type="dxa" w:w="9360"/>
            <w:shd w:fill="F0F4F8"/>
            <w:tcMar>
              <w:top w:w="160" w:type="dxa"/>
              <w:bottom w:w="160" w:type="dxa"/>
              <w:left w:w="200" w:type="dxa"/>
              <w:right w:w="200" w:type="dxa"/>
            </w:tcMar>
            <w:tcBorders>
              <w:top w:val="none"/>
              <w:left w:val="single" w:sz="24" w:color="1B365D" w:space="0"/>
              <w:bottom w:val="none"/>
              <w:right w:val="none"/>
            </w:tcBorders>
          </w:tcPr>
          <w:p>
            <w:pPr>
              <w:spacing w:after="80"/>
            </w:pPr>
            <w:r>
              <w:rPr>
                <w:b/>
                <w:color w:val="1B365D"/>
                <w:sz w:val="22"/>
              </w:rPr>
              <w:t>EXECUTIVE SUMMARY</w:t>
              <w:br/>
            </w:r>
            <w:r>
              <w:rPr>
                <w:color w:val="282C34"/>
                <w:sz w:val="21"/>
              </w:rPr>
              <w:t>Artificial Intelligence (AI) has transitioned from an experimental capability into a foundational pillar of modern organizational strategy. Enterprises deploying AI-driven workflows report substantial gains across automated operational processing, predictive forecasting, and hyper-personalized customer engagement. This report synthesizes key performance metrics, identifies critical adoption drivers, and provides an actionable five-stage implementation roadmap designed for corporate leaders.</w:t>
            </w:r>
          </w:p>
        </w:tc>
      </w:tr>
    </w:tbl>
    <w:p>
      <w:pPr>
        <w:spacing w:before="160"/>
      </w:pPr>
    </w:p>
    <w:p>
      <w:pPr>
        <w:spacing w:before="280" w:after="80"/>
      </w:pPr>
      <w:r>
        <w:rPr>
          <w:rFonts w:ascii="Calibri" w:hAnsi="Calibri"/>
          <w:b/>
          <w:color w:val="1B365D"/>
          <w:sz w:val="28"/>
        </w:rPr>
        <w:t>1. Strategic Drivers of Enterprise Adoption</w:t>
      </w:r>
    </w:p>
    <w:p>
      <w:r>
        <w:t>The rapid maturation of foundation models, high-performance edge computing, and standardized API ecosystems has significantly lowered the threshold for enterprise deployment. Organizations are actively prioritizing three primary value horizons:</w:t>
      </w:r>
    </w:p>
    <w:p>
      <w:pPr>
        <w:pStyle w:val="ListBullet"/>
      </w:pPr>
      <w:r>
        <w:rPr>
          <w:b/>
        </w:rPr>
        <w:t xml:space="preserve">Autonomous Process Orchestration: </w:t>
      </w:r>
      <w:r>
        <w:t>Eliminating routine cognitive overhead across document ingestion, unstructured data triage, and transaction reconciliation.</w:t>
      </w:r>
    </w:p>
    <w:p>
      <w:pPr>
        <w:pStyle w:val="ListBullet"/>
      </w:pPr>
      <w:r>
        <w:rPr>
          <w:b/>
        </w:rPr>
        <w:t xml:space="preserve">Predictive Intelligence &amp; Forecasting: </w:t>
      </w:r>
      <w:r>
        <w:t>Augmenting supply chain agility, inventory allocation, and risk hedging via continuous pattern recognition on real-time data.</w:t>
      </w:r>
    </w:p>
    <w:p>
      <w:pPr>
        <w:pStyle w:val="ListBullet"/>
      </w:pPr>
      <w:r>
        <w:rPr>
          <w:b/>
        </w:rPr>
        <w:t xml:space="preserve">Generative Augmentation for Knowledge Work: </w:t>
      </w:r>
      <w:r>
        <w:t>Accelerating software engineering cycle times, technical authoring, legal review, and tailored marketing content generation.</w:t>
      </w:r>
    </w:p>
    <w:p>
      <w:pPr>
        <w:spacing w:before="280" w:after="80"/>
      </w:pPr>
      <w:r>
        <w:rPr>
          <w:rFonts w:ascii="Calibri" w:hAnsi="Calibri"/>
          <w:b/>
          <w:color w:val="1B365D"/>
          <w:sz w:val="28"/>
        </w:rPr>
        <w:t>2. Quantitative Impact Across Key Functional Areas</w:t>
      </w:r>
    </w:p>
    <w:p>
      <w:r>
        <w:t>Field benchmark studies from global enterprise implementations indicate pronounced performance shifts across core departments:</w:t>
      </w:r>
    </w:p>
    <w:tbl>
      <w:tblPr>
        <w:tblW w:type="auto" w:w="0"/>
        <w:jc w:val="center"/>
        <w:tblLayout w:type="fixed"/>
        <w:tblLook w:firstColumn="1" w:firstRow="1" w:lastColumn="0" w:lastRow="0" w:noHBand="0" w:noVBand="1" w:val="04A0"/>
      </w:tblPr>
      <w:tblGrid>
        <w:gridCol w:w="2340"/>
        <w:gridCol w:w="2340"/>
        <w:gridCol w:w="2340"/>
        <w:gridCol w:w="2340"/>
      </w:tblGrid>
      <w:tr>
        <w:trPr>
          <w:cantSplit/>
        </w:trPr>
        <w:tc>
          <w:tcPr>
            <w:tcW w:type="dxa" w:w="2304"/>
            <w:shd w:fill="1B365D"/>
            <w:tcMar>
              <w:top w:w="100" w:type="dxa"/>
              <w:bottom w:w="100" w:type="dxa"/>
              <w:left w:w="120" w:type="dxa"/>
              <w:right w:w="120" w:type="dxa"/>
            </w:tcMar>
            <w:tcBorders>
              <w:top w:val="single" w:sz="6" w:color="CBD5E1" w:space="0"/>
              <w:left w:val="none"/>
              <w:bottom w:val="single" w:sz="6" w:color="CBD5E1" w:space="0"/>
              <w:right w:val="none"/>
            </w:tcBorders>
          </w:tcPr>
          <w:p>
            <w:pPr>
              <w:spacing w:before="40" w:after="40"/>
            </w:pPr>
            <w:r>
              <w:rPr>
                <w:b/>
                <w:color w:val="FFFFFF"/>
                <w:sz w:val="19"/>
              </w:rPr>
              <w:t>Functional Department</w:t>
            </w:r>
          </w:p>
        </w:tc>
        <w:tc>
          <w:tcPr>
            <w:tcW w:type="dxa" w:w="3168"/>
            <w:shd w:fill="1B365D"/>
            <w:tcMar>
              <w:top w:w="100" w:type="dxa"/>
              <w:bottom w:w="100" w:type="dxa"/>
              <w:left w:w="120" w:type="dxa"/>
              <w:right w:w="120" w:type="dxa"/>
            </w:tcMar>
            <w:tcBorders>
              <w:top w:val="single" w:sz="6" w:color="CBD5E1" w:space="0"/>
              <w:left w:val="none"/>
              <w:bottom w:val="single" w:sz="6" w:color="CBD5E1" w:space="0"/>
              <w:right w:val="none"/>
            </w:tcBorders>
          </w:tcPr>
          <w:p>
            <w:pPr>
              <w:spacing w:before="40" w:after="40"/>
            </w:pPr>
            <w:r>
              <w:rPr>
                <w:b/>
                <w:color w:val="FFFFFF"/>
                <w:sz w:val="19"/>
              </w:rPr>
              <w:t>Primary AI Application</w:t>
            </w:r>
          </w:p>
        </w:tc>
        <w:tc>
          <w:tcPr>
            <w:tcW w:type="dxa" w:w="2592"/>
            <w:shd w:fill="1B365D"/>
            <w:tcMar>
              <w:top w:w="100" w:type="dxa"/>
              <w:bottom w:w="100" w:type="dxa"/>
              <w:left w:w="120" w:type="dxa"/>
              <w:right w:w="120" w:type="dxa"/>
            </w:tcMar>
            <w:tcBorders>
              <w:top w:val="single" w:sz="6" w:color="CBD5E1" w:space="0"/>
              <w:left w:val="none"/>
              <w:bottom w:val="single" w:sz="6" w:color="CBD5E1" w:space="0"/>
              <w:right w:val="none"/>
            </w:tcBorders>
          </w:tcPr>
          <w:p>
            <w:pPr>
              <w:spacing w:before="40" w:after="40"/>
            </w:pPr>
            <w:r>
              <w:rPr>
                <w:b/>
                <w:color w:val="FFFFFF"/>
                <w:sz w:val="19"/>
              </w:rPr>
              <w:t>Measured Efficiency Gain</w:t>
            </w:r>
          </w:p>
        </w:tc>
        <w:tc>
          <w:tcPr>
            <w:tcW w:type="dxa" w:w="1584"/>
            <w:shd w:fill="1B365D"/>
            <w:tcMar>
              <w:top w:w="100" w:type="dxa"/>
              <w:bottom w:w="100" w:type="dxa"/>
              <w:left w:w="120" w:type="dxa"/>
              <w:right w:w="120" w:type="dxa"/>
            </w:tcMar>
            <w:tcBorders>
              <w:top w:val="single" w:sz="6" w:color="CBD5E1" w:space="0"/>
              <w:left w:val="none"/>
              <w:bottom w:val="single" w:sz="6" w:color="CBD5E1" w:space="0"/>
              <w:right w:val="none"/>
            </w:tcBorders>
          </w:tcPr>
          <w:p>
            <w:pPr>
              <w:spacing w:before="40" w:after="40"/>
            </w:pPr>
            <w:r>
              <w:rPr>
                <w:b/>
                <w:color w:val="FFFFFF"/>
                <w:sz w:val="19"/>
              </w:rPr>
              <w:t>Typical Time-to-Value</w:t>
            </w:r>
          </w:p>
        </w:tc>
      </w:tr>
      <w:tr>
        <w:trPr>
          <w:cantSplit/>
        </w:trPr>
        <w:tc>
          <w:tcPr>
            <w:tcW w:type="dxa" w:w="2304"/>
            <w:shd w:fill="F8FAFC"/>
            <w:tcMar>
              <w:top w:w="100" w:type="dxa"/>
              <w:bottom w:w="100" w:type="dxa"/>
              <w:left w:w="120" w:type="dxa"/>
              <w:right w:w="120" w:type="dxa"/>
            </w:tcMar>
            <w:tcBorders>
              <w:top w:val="none"/>
              <w:left w:val="none"/>
              <w:bottom w:val="single" w:sz="6" w:color="CBD5E1" w:space="0"/>
              <w:right w:val="none"/>
            </w:tcBorders>
          </w:tcPr>
          <w:p>
            <w:pPr>
              <w:spacing w:before="40" w:after="40"/>
            </w:pPr>
            <w:r>
              <w:rPr>
                <w:color w:val="282C34"/>
                <w:sz w:val="19"/>
              </w:rPr>
              <w:t>Customer Experience</w:t>
            </w:r>
          </w:p>
        </w:tc>
        <w:tc>
          <w:tcPr>
            <w:tcW w:type="dxa" w:w="3168"/>
            <w:shd w:fill="F8FAFC"/>
            <w:tcMar>
              <w:top w:w="100" w:type="dxa"/>
              <w:bottom w:w="100" w:type="dxa"/>
              <w:left w:w="120" w:type="dxa"/>
              <w:right w:w="120" w:type="dxa"/>
            </w:tcMar>
            <w:tcBorders>
              <w:top w:val="none"/>
              <w:left w:val="none"/>
              <w:bottom w:val="single" w:sz="6" w:color="CBD5E1" w:space="0"/>
              <w:right w:val="none"/>
            </w:tcBorders>
          </w:tcPr>
          <w:p>
            <w:pPr>
              <w:spacing w:before="40" w:after="40"/>
            </w:pPr>
            <w:r>
              <w:rPr>
                <w:color w:val="282C34"/>
                <w:sz w:val="19"/>
              </w:rPr>
              <w:t>Omnichannel Conversational AI</w:t>
            </w:r>
          </w:p>
        </w:tc>
        <w:tc>
          <w:tcPr>
            <w:tcW w:type="dxa" w:w="2592"/>
            <w:shd w:fill="F8FAFC"/>
            <w:tcMar>
              <w:top w:w="100" w:type="dxa"/>
              <w:bottom w:w="100" w:type="dxa"/>
              <w:left w:w="120" w:type="dxa"/>
              <w:right w:w="120" w:type="dxa"/>
            </w:tcMar>
            <w:tcBorders>
              <w:top w:val="none"/>
              <w:left w:val="none"/>
              <w:bottom w:val="single" w:sz="6" w:color="CBD5E1" w:space="0"/>
              <w:right w:val="none"/>
            </w:tcBorders>
          </w:tcPr>
          <w:p>
            <w:pPr>
              <w:spacing w:before="40" w:after="40"/>
            </w:pPr>
            <w:r>
              <w:rPr>
                <w:color w:val="282C34"/>
                <w:sz w:val="19"/>
              </w:rPr>
              <w:t>42% reduction in initial handle time</w:t>
            </w:r>
          </w:p>
        </w:tc>
        <w:tc>
          <w:tcPr>
            <w:tcW w:type="dxa" w:w="1584"/>
            <w:shd w:fill="F8FAFC"/>
            <w:tcMar>
              <w:top w:w="100" w:type="dxa"/>
              <w:bottom w:w="100" w:type="dxa"/>
              <w:left w:w="120" w:type="dxa"/>
              <w:right w:w="120" w:type="dxa"/>
            </w:tcMar>
            <w:tcBorders>
              <w:top w:val="none"/>
              <w:left w:val="none"/>
              <w:bottom w:val="single" w:sz="6" w:color="CBD5E1" w:space="0"/>
              <w:right w:val="none"/>
            </w:tcBorders>
          </w:tcPr>
          <w:p>
            <w:pPr>
              <w:spacing w:before="40" w:after="40"/>
            </w:pPr>
            <w:r>
              <w:rPr>
                <w:color w:val="282C34"/>
                <w:sz w:val="19"/>
              </w:rPr>
              <w:t>3 – 4 Months</w:t>
            </w:r>
          </w:p>
        </w:tc>
      </w:tr>
      <w:tr>
        <w:trPr>
          <w:cantSplit/>
        </w:trPr>
        <w:tc>
          <w:tcPr>
            <w:tcW w:type="dxa" w:w="2304"/>
            <w:shd w:fill="FFFFFF"/>
            <w:tcMar>
              <w:top w:w="100" w:type="dxa"/>
              <w:bottom w:w="100" w:type="dxa"/>
              <w:left w:w="120" w:type="dxa"/>
              <w:right w:w="120" w:type="dxa"/>
            </w:tcMar>
            <w:tcBorders>
              <w:top w:val="none"/>
              <w:left w:val="none"/>
              <w:bottom w:val="single" w:sz="6" w:color="CBD5E1" w:space="0"/>
              <w:right w:val="none"/>
            </w:tcBorders>
          </w:tcPr>
          <w:p>
            <w:pPr>
              <w:spacing w:before="40" w:after="40"/>
            </w:pPr>
            <w:r>
              <w:rPr>
                <w:color w:val="282C34"/>
                <w:sz w:val="19"/>
              </w:rPr>
              <w:t>Software Engineering</w:t>
            </w:r>
          </w:p>
        </w:tc>
        <w:tc>
          <w:tcPr>
            <w:tcW w:type="dxa" w:w="3168"/>
            <w:shd w:fill="FFFFFF"/>
            <w:tcMar>
              <w:top w:w="100" w:type="dxa"/>
              <w:bottom w:w="100" w:type="dxa"/>
              <w:left w:w="120" w:type="dxa"/>
              <w:right w:w="120" w:type="dxa"/>
            </w:tcMar>
            <w:tcBorders>
              <w:top w:val="none"/>
              <w:left w:val="none"/>
              <w:bottom w:val="single" w:sz="6" w:color="CBD5E1" w:space="0"/>
              <w:right w:val="none"/>
            </w:tcBorders>
          </w:tcPr>
          <w:p>
            <w:pPr>
              <w:spacing w:before="40" w:after="40"/>
            </w:pPr>
            <w:r>
              <w:rPr>
                <w:color w:val="282C34"/>
                <w:sz w:val="19"/>
              </w:rPr>
              <w:t>AI Code Synthesis &amp; Automated Testing</w:t>
            </w:r>
          </w:p>
        </w:tc>
        <w:tc>
          <w:tcPr>
            <w:tcW w:type="dxa" w:w="2592"/>
            <w:shd w:fill="FFFFFF"/>
            <w:tcMar>
              <w:top w:w="100" w:type="dxa"/>
              <w:bottom w:w="100" w:type="dxa"/>
              <w:left w:w="120" w:type="dxa"/>
              <w:right w:w="120" w:type="dxa"/>
            </w:tcMar>
            <w:tcBorders>
              <w:top w:val="none"/>
              <w:left w:val="none"/>
              <w:bottom w:val="single" w:sz="6" w:color="CBD5E1" w:space="0"/>
              <w:right w:val="none"/>
            </w:tcBorders>
          </w:tcPr>
          <w:p>
            <w:pPr>
              <w:spacing w:before="40" w:after="40"/>
            </w:pPr>
            <w:r>
              <w:rPr>
                <w:color w:val="282C34"/>
                <w:sz w:val="19"/>
              </w:rPr>
              <w:t>30–35% faster delivery throughput</w:t>
            </w:r>
          </w:p>
        </w:tc>
        <w:tc>
          <w:tcPr>
            <w:tcW w:type="dxa" w:w="1584"/>
            <w:shd w:fill="FFFFFF"/>
            <w:tcMar>
              <w:top w:w="100" w:type="dxa"/>
              <w:bottom w:w="100" w:type="dxa"/>
              <w:left w:w="120" w:type="dxa"/>
              <w:right w:w="120" w:type="dxa"/>
            </w:tcMar>
            <w:tcBorders>
              <w:top w:val="none"/>
              <w:left w:val="none"/>
              <w:bottom w:val="single" w:sz="6" w:color="CBD5E1" w:space="0"/>
              <w:right w:val="none"/>
            </w:tcBorders>
          </w:tcPr>
          <w:p>
            <w:pPr>
              <w:spacing w:before="40" w:after="40"/>
            </w:pPr>
            <w:r>
              <w:rPr>
                <w:color w:val="282C34"/>
                <w:sz w:val="19"/>
              </w:rPr>
              <w:t>1 – 2 Months</w:t>
            </w:r>
          </w:p>
        </w:tc>
      </w:tr>
      <w:tr>
        <w:trPr>
          <w:cantSplit/>
        </w:trPr>
        <w:tc>
          <w:tcPr>
            <w:tcW w:type="dxa" w:w="2304"/>
            <w:shd w:fill="F8FAFC"/>
            <w:tcMar>
              <w:top w:w="100" w:type="dxa"/>
              <w:bottom w:w="100" w:type="dxa"/>
              <w:left w:w="120" w:type="dxa"/>
              <w:right w:w="120" w:type="dxa"/>
            </w:tcMar>
            <w:tcBorders>
              <w:top w:val="none"/>
              <w:left w:val="none"/>
              <w:bottom w:val="single" w:sz="6" w:color="CBD5E1" w:space="0"/>
              <w:right w:val="none"/>
            </w:tcBorders>
          </w:tcPr>
          <w:p>
            <w:pPr>
              <w:spacing w:before="40" w:after="40"/>
            </w:pPr>
            <w:r>
              <w:rPr>
                <w:color w:val="282C34"/>
                <w:sz w:val="19"/>
              </w:rPr>
              <w:t>Supply Chain &amp; Logistics</w:t>
            </w:r>
          </w:p>
        </w:tc>
        <w:tc>
          <w:tcPr>
            <w:tcW w:type="dxa" w:w="3168"/>
            <w:shd w:fill="F8FAFC"/>
            <w:tcMar>
              <w:top w:w="100" w:type="dxa"/>
              <w:bottom w:w="100" w:type="dxa"/>
              <w:left w:w="120" w:type="dxa"/>
              <w:right w:w="120" w:type="dxa"/>
            </w:tcMar>
            <w:tcBorders>
              <w:top w:val="none"/>
              <w:left w:val="none"/>
              <w:bottom w:val="single" w:sz="6" w:color="CBD5E1" w:space="0"/>
              <w:right w:val="none"/>
            </w:tcBorders>
          </w:tcPr>
          <w:p>
            <w:pPr>
              <w:spacing w:before="40" w:after="40"/>
            </w:pPr>
            <w:r>
              <w:rPr>
                <w:color w:val="282C34"/>
                <w:sz w:val="19"/>
              </w:rPr>
              <w:t>Predictive Route &amp; Stock Optimization</w:t>
            </w:r>
          </w:p>
        </w:tc>
        <w:tc>
          <w:tcPr>
            <w:tcW w:type="dxa" w:w="2592"/>
            <w:shd w:fill="F8FAFC"/>
            <w:tcMar>
              <w:top w:w="100" w:type="dxa"/>
              <w:bottom w:w="100" w:type="dxa"/>
              <w:left w:w="120" w:type="dxa"/>
              <w:right w:w="120" w:type="dxa"/>
            </w:tcMar>
            <w:tcBorders>
              <w:top w:val="none"/>
              <w:left w:val="none"/>
              <w:bottom w:val="single" w:sz="6" w:color="CBD5E1" w:space="0"/>
              <w:right w:val="none"/>
            </w:tcBorders>
          </w:tcPr>
          <w:p>
            <w:pPr>
              <w:spacing w:before="40" w:after="40"/>
            </w:pPr>
            <w:r>
              <w:rPr>
                <w:color w:val="282C34"/>
                <w:sz w:val="19"/>
              </w:rPr>
              <w:t>18% inventory holding cost reduction</w:t>
            </w:r>
          </w:p>
        </w:tc>
        <w:tc>
          <w:tcPr>
            <w:tcW w:type="dxa" w:w="1584"/>
            <w:shd w:fill="F8FAFC"/>
            <w:tcMar>
              <w:top w:w="100" w:type="dxa"/>
              <w:bottom w:w="100" w:type="dxa"/>
              <w:left w:w="120" w:type="dxa"/>
              <w:right w:w="120" w:type="dxa"/>
            </w:tcMar>
            <w:tcBorders>
              <w:top w:val="none"/>
              <w:left w:val="none"/>
              <w:bottom w:val="single" w:sz="6" w:color="CBD5E1" w:space="0"/>
              <w:right w:val="none"/>
            </w:tcBorders>
          </w:tcPr>
          <w:p>
            <w:pPr>
              <w:spacing w:before="40" w:after="40"/>
            </w:pPr>
            <w:r>
              <w:rPr>
                <w:color w:val="282C34"/>
                <w:sz w:val="19"/>
              </w:rPr>
              <w:t>6 – 8 Months</w:t>
            </w:r>
          </w:p>
        </w:tc>
      </w:tr>
      <w:tr>
        <w:trPr>
          <w:cantSplit/>
        </w:trPr>
        <w:tc>
          <w:tcPr>
            <w:tcW w:type="dxa" w:w="2304"/>
            <w:shd w:fill="FFFFFF"/>
            <w:tcMar>
              <w:top w:w="100" w:type="dxa"/>
              <w:bottom w:w="100" w:type="dxa"/>
              <w:left w:w="120" w:type="dxa"/>
              <w:right w:w="120" w:type="dxa"/>
            </w:tcMar>
            <w:tcBorders>
              <w:top w:val="none"/>
              <w:left w:val="none"/>
              <w:bottom w:val="single" w:sz="6" w:color="CBD5E1" w:space="0"/>
              <w:right w:val="none"/>
            </w:tcBorders>
          </w:tcPr>
          <w:p>
            <w:pPr>
              <w:spacing w:before="40" w:after="40"/>
            </w:pPr>
            <w:r>
              <w:rPr>
                <w:color w:val="282C34"/>
                <w:sz w:val="19"/>
              </w:rPr>
              <w:t>Finance &amp; Risk</w:t>
            </w:r>
          </w:p>
        </w:tc>
        <w:tc>
          <w:tcPr>
            <w:tcW w:type="dxa" w:w="3168"/>
            <w:shd w:fill="FFFFFF"/>
            <w:tcMar>
              <w:top w:w="100" w:type="dxa"/>
              <w:bottom w:w="100" w:type="dxa"/>
              <w:left w:w="120" w:type="dxa"/>
              <w:right w:w="120" w:type="dxa"/>
            </w:tcMar>
            <w:tcBorders>
              <w:top w:val="none"/>
              <w:left w:val="none"/>
              <w:bottom w:val="single" w:sz="6" w:color="CBD5E1" w:space="0"/>
              <w:right w:val="none"/>
            </w:tcBorders>
          </w:tcPr>
          <w:p>
            <w:pPr>
              <w:spacing w:before="40" w:after="40"/>
            </w:pPr>
            <w:r>
              <w:rPr>
                <w:color w:val="282C34"/>
                <w:sz w:val="19"/>
              </w:rPr>
              <w:t>Automated Anomaly &amp; Fraud Detection</w:t>
            </w:r>
          </w:p>
        </w:tc>
        <w:tc>
          <w:tcPr>
            <w:tcW w:type="dxa" w:w="2592"/>
            <w:shd w:fill="FFFFFF"/>
            <w:tcMar>
              <w:top w:w="100" w:type="dxa"/>
              <w:bottom w:w="100" w:type="dxa"/>
              <w:left w:w="120" w:type="dxa"/>
              <w:right w:w="120" w:type="dxa"/>
            </w:tcMar>
            <w:tcBorders>
              <w:top w:val="none"/>
              <w:left w:val="none"/>
              <w:bottom w:val="single" w:sz="6" w:color="CBD5E1" w:space="0"/>
              <w:right w:val="none"/>
            </w:tcBorders>
          </w:tcPr>
          <w:p>
            <w:pPr>
              <w:spacing w:before="40" w:after="40"/>
            </w:pPr>
            <w:r>
              <w:rPr>
                <w:color w:val="282C34"/>
                <w:sz w:val="19"/>
              </w:rPr>
              <w:t>55% faster reconciliation cycles</w:t>
            </w:r>
          </w:p>
        </w:tc>
        <w:tc>
          <w:tcPr>
            <w:tcW w:type="dxa" w:w="1584"/>
            <w:shd w:fill="FFFFFF"/>
            <w:tcMar>
              <w:top w:w="100" w:type="dxa"/>
              <w:bottom w:w="100" w:type="dxa"/>
              <w:left w:w="120" w:type="dxa"/>
              <w:right w:w="120" w:type="dxa"/>
            </w:tcMar>
            <w:tcBorders>
              <w:top w:val="none"/>
              <w:left w:val="none"/>
              <w:bottom w:val="single" w:sz="6" w:color="CBD5E1" w:space="0"/>
              <w:right w:val="none"/>
            </w:tcBorders>
          </w:tcPr>
          <w:p>
            <w:pPr>
              <w:spacing w:before="40" w:after="40"/>
            </w:pPr>
            <w:r>
              <w:rPr>
                <w:color w:val="282C34"/>
                <w:sz w:val="19"/>
              </w:rPr>
              <w:t>4 – 5 Months</w:t>
            </w:r>
          </w:p>
        </w:tc>
      </w:tr>
      <w:tr>
        <w:trPr>
          <w:cantSplit/>
        </w:trPr>
        <w:tc>
          <w:tcPr>
            <w:tcW w:type="dxa" w:w="2304"/>
            <w:shd w:fill="F8FAFC"/>
            <w:tcMar>
              <w:top w:w="100" w:type="dxa"/>
              <w:bottom w:w="100" w:type="dxa"/>
              <w:left w:w="120" w:type="dxa"/>
              <w:right w:w="120" w:type="dxa"/>
            </w:tcMar>
            <w:tcBorders>
              <w:top w:val="none"/>
              <w:left w:val="none"/>
              <w:bottom w:val="single" w:sz="6" w:color="CBD5E1" w:space="0"/>
              <w:right w:val="none"/>
            </w:tcBorders>
          </w:tcPr>
          <w:p>
            <w:pPr>
              <w:spacing w:before="40" w:after="40"/>
            </w:pPr>
            <w:r>
              <w:rPr>
                <w:color w:val="282C34"/>
                <w:sz w:val="19"/>
              </w:rPr>
              <w:t>Human Resources</w:t>
            </w:r>
          </w:p>
        </w:tc>
        <w:tc>
          <w:tcPr>
            <w:tcW w:type="dxa" w:w="3168"/>
            <w:shd w:fill="F8FAFC"/>
            <w:tcMar>
              <w:top w:w="100" w:type="dxa"/>
              <w:bottom w:w="100" w:type="dxa"/>
              <w:left w:w="120" w:type="dxa"/>
              <w:right w:w="120" w:type="dxa"/>
            </w:tcMar>
            <w:tcBorders>
              <w:top w:val="none"/>
              <w:left w:val="none"/>
              <w:bottom w:val="single" w:sz="6" w:color="CBD5E1" w:space="0"/>
              <w:right w:val="none"/>
            </w:tcBorders>
          </w:tcPr>
          <w:p>
            <w:pPr>
              <w:spacing w:before="40" w:after="40"/>
            </w:pPr>
            <w:r>
              <w:rPr>
                <w:color w:val="282C34"/>
                <w:sz w:val="19"/>
              </w:rPr>
              <w:t>Candidate Matching &amp; Policy Assistants</w:t>
            </w:r>
          </w:p>
        </w:tc>
        <w:tc>
          <w:tcPr>
            <w:tcW w:type="dxa" w:w="2592"/>
            <w:shd w:fill="F8FAFC"/>
            <w:tcMar>
              <w:top w:w="100" w:type="dxa"/>
              <w:bottom w:w="100" w:type="dxa"/>
              <w:left w:w="120" w:type="dxa"/>
              <w:right w:w="120" w:type="dxa"/>
            </w:tcMar>
            <w:tcBorders>
              <w:top w:val="none"/>
              <w:left w:val="none"/>
              <w:bottom w:val="single" w:sz="6" w:color="CBD5E1" w:space="0"/>
              <w:right w:val="none"/>
            </w:tcBorders>
          </w:tcPr>
          <w:p>
            <w:pPr>
              <w:spacing w:before="40" w:after="40"/>
            </w:pPr>
            <w:r>
              <w:rPr>
                <w:color w:val="282C34"/>
                <w:sz w:val="19"/>
              </w:rPr>
              <w:t>28% decrease in onboarding friction</w:t>
            </w:r>
          </w:p>
        </w:tc>
        <w:tc>
          <w:tcPr>
            <w:tcW w:type="dxa" w:w="1584"/>
            <w:shd w:fill="F8FAFC"/>
            <w:tcMar>
              <w:top w:w="100" w:type="dxa"/>
              <w:bottom w:w="100" w:type="dxa"/>
              <w:left w:w="120" w:type="dxa"/>
              <w:right w:w="120" w:type="dxa"/>
            </w:tcMar>
            <w:tcBorders>
              <w:top w:val="none"/>
              <w:left w:val="none"/>
              <w:bottom w:val="single" w:sz="6" w:color="CBD5E1" w:space="0"/>
              <w:right w:val="none"/>
            </w:tcBorders>
          </w:tcPr>
          <w:p>
            <w:pPr>
              <w:spacing w:before="40" w:after="40"/>
            </w:pPr>
            <w:r>
              <w:rPr>
                <w:color w:val="282C34"/>
                <w:sz w:val="19"/>
              </w:rPr>
              <w:t>2 – 3 Months</w:t>
            </w:r>
          </w:p>
        </w:tc>
      </w:tr>
    </w:tbl>
    <w:p>
      <w:pPr>
        <w:spacing w:before="120"/>
      </w:pPr>
    </w:p>
    <w:p>
      <w:pPr>
        <w:spacing w:before="280" w:after="80"/>
      </w:pPr>
      <w:r>
        <w:rPr>
          <w:rFonts w:ascii="Calibri" w:hAnsi="Calibri"/>
          <w:b/>
          <w:color w:val="1B365D"/>
          <w:sz w:val="28"/>
        </w:rPr>
        <w:t>3. Governance, Security, and Risk Management</w:t>
      </w:r>
    </w:p>
    <w:p>
      <w:r>
        <w:t>While ROI potential is significant, sustainable adoption requires proactive mitigation of enterprise-level exposure. Key risk vectors include:</w:t>
      </w:r>
    </w:p>
    <w:p>
      <w:pPr>
        <w:pStyle w:val="ListBullet"/>
      </w:pPr>
      <w:r>
        <w:rPr>
          <w:b/>
        </w:rPr>
        <w:t xml:space="preserve">Data Privacy &amp; IP Protection: </w:t>
      </w:r>
      <w:r>
        <w:t>Preventing proprietary data leakage into public training sets via strict zero-data-retention (ZDR) agreements and private VPC deployments.</w:t>
      </w:r>
    </w:p>
    <w:p>
      <w:pPr>
        <w:pStyle w:val="ListBullet"/>
      </w:pPr>
      <w:r>
        <w:rPr>
          <w:b/>
        </w:rPr>
        <w:t xml:space="preserve">Hallucination &amp; Output Validation: </w:t>
      </w:r>
      <w:r>
        <w:t>Establishing human-in-the-loop (HITL) checkpoints and automated unit checks for mission-critical and customer-facing workflows.</w:t>
      </w:r>
    </w:p>
    <w:p>
      <w:pPr>
        <w:pStyle w:val="ListBullet"/>
      </w:pPr>
      <w:r>
        <w:rPr>
          <w:b/>
        </w:rPr>
        <w:t xml:space="preserve">Regulatory &amp; Compliance Alignment: </w:t>
      </w:r>
      <w:r>
        <w:t>Maintaining alignment with emerging global mandates (e.g., EU AI Act, NIST AI RMF, ISO 42001) regarding algorithmic auditability.</w:t>
      </w:r>
    </w:p>
    <w:p>
      <w:pPr>
        <w:spacing w:before="280" w:after="80"/>
      </w:pPr>
      <w:r>
        <w:rPr>
          <w:rFonts w:ascii="Calibri" w:hAnsi="Calibri"/>
          <w:b/>
          <w:color w:val="1B365D"/>
          <w:sz w:val="28"/>
        </w:rPr>
        <w:t>4. Recommended Strategic Roadmap</w:t>
      </w:r>
    </w:p>
    <w:p>
      <w:r>
        <w:t>To maximize capital efficiency and minimize disruption, leadership teams should execute against a tiered four-phase deployment model:</w:t>
      </w:r>
    </w:p>
    <w:p>
      <w:pPr>
        <w:pStyle w:val="ListNumber"/>
      </w:pPr>
      <w:r>
        <w:rPr>
          <w:b/>
        </w:rPr>
        <w:t xml:space="preserve">Phase 1: Readiness &amp; Opportunity Audit (Weeks 1–4): </w:t>
      </w:r>
      <w:r>
        <w:t>Identify top 3 high-impact, low-risk use cases; evaluate current data infrastructure; define baseline operational KPIs.</w:t>
      </w:r>
    </w:p>
    <w:p>
      <w:pPr>
        <w:pStyle w:val="ListNumber"/>
      </w:pPr>
      <w:r>
        <w:rPr>
          <w:b/>
        </w:rPr>
        <w:t xml:space="preserve">Phase 2: Sandboxed Pilot &amp; Proof of Concept (Weeks 5–10): </w:t>
      </w:r>
      <w:r>
        <w:t>Deploy targeted pilots with cross-functional oversight; test model accuracy, latency, and integration friction.</w:t>
      </w:r>
    </w:p>
    <w:p>
      <w:pPr>
        <w:pStyle w:val="ListNumber"/>
      </w:pPr>
      <w:r>
        <w:rPr>
          <w:b/>
        </w:rPr>
        <w:t xml:space="preserve">Phase 3: Production Rollout &amp; Governance (Weeks 11–18): </w:t>
      </w:r>
      <w:r>
        <w:t>Deploy containerized models within enterprise security perimeters; formalize prompt libraries and access control policies.</w:t>
      </w:r>
    </w:p>
    <w:p>
      <w:pPr>
        <w:pStyle w:val="ListNumber"/>
      </w:pPr>
      <w:r>
        <w:rPr>
          <w:b/>
        </w:rPr>
        <w:t xml:space="preserve">Phase 4: Continuous Optimization &amp; Scaling (Ongoing): </w:t>
      </w:r>
      <w:r>
        <w:t>Monitor latency, drift, cost-per-inference metrics, and user feedback to incrementally expand tool utilization across business units.</w:t>
      </w:r>
    </w:p>
    <w:p>
      <w:pPr>
        <w:spacing w:before="280" w:after="80"/>
      </w:pPr>
      <w:r>
        <w:rPr>
          <w:rFonts w:ascii="Calibri" w:hAnsi="Calibri"/>
          <w:b/>
          <w:color w:val="1B365D"/>
          <w:sz w:val="28"/>
        </w:rPr>
        <w:t>5. Conclusion &amp; Leadership Takeaways</w:t>
      </w:r>
    </w:p>
    <w:p>
      <w:r>
        <w:t>Artificial intelligence is no longer merely a competitive differentiator—it is rapidly becoming table stakes for modern operational resilience. Organizations that balance rapid pilot experimentation with stringent data governance and proactive change management will capture disproportionate productivity and market advantages over the coming business cycle.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282C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