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操作流程（操作者版）</w:t>
      </w:r>
    </w:p>
    <w:p/>
    <w:p>
      <w:pPr>
        <w:pStyle w:val="Heading2"/>
      </w:pPr>
      <w:r>
        <w:t>一、首次使用</w:t>
      </w:r>
    </w:p>
    <w:p>
      <w:r>
        <w:t>1. 双击 `一键重启并打开上传文档页.command`</w:t>
      </w:r>
    </w:p>
    <w:p>
      <w:r>
        <w:t>2. 页面右上角选择语言（中文/English）</w:t>
      </w:r>
    </w:p>
    <w:p>
      <w:r>
        <w:t>3. 在连接区确认：</w:t>
      </w:r>
    </w:p>
    <w:p>
      <w:r>
        <w:t xml:space="preserve">   - Backend URL（默认 `http://127.0.0.1:18082`）</w:t>
      </w:r>
    </w:p>
    <w:p>
      <w:r>
        <w:t xml:space="preserve">   - Root Path（自动识别项目目录）</w:t>
      </w:r>
    </w:p>
    <w:p>
      <w:r>
        <w:t>4. 点击 `Health Check`</w:t>
      </w:r>
    </w:p>
    <w:p/>
    <w:p>
      <w:pPr>
        <w:pStyle w:val="Heading2"/>
      </w:pPr>
      <w:r>
        <w:t>二、按国家隔离操作</w:t>
      </w:r>
    </w:p>
    <w:p/>
    <w:p>
      <w:r>
        <w:t>页面分成两个完全独立区域：</w:t>
      </w:r>
    </w:p>
    <w:p>
      <w:pPr>
        <w:pStyle w:val="ListBullet"/>
      </w:pPr>
      <w:r>
        <w:t>US Workspace：只做美国流程文件</w:t>
      </w:r>
    </w:p>
    <w:p>
      <w:pPr>
        <w:pStyle w:val="ListBullet"/>
      </w:pPr>
      <w:r>
        <w:t>CAN Workspace：只做加拿大流程文件</w:t>
      </w:r>
    </w:p>
    <w:p/>
    <w:p>
      <w:r>
        <w:t>请不要混用区域（例如 US 文件放到 CAN 区域）。</w:t>
      </w:r>
    </w:p>
    <w:p/>
    <w:p>
      <w:pPr>
        <w:pStyle w:val="Heading2"/>
      </w:pPr>
      <w:r>
        <w:t>三、基础产出操作</w:t>
      </w:r>
    </w:p>
    <w:p/>
    <w:p>
      <w:pPr>
        <w:pStyle w:val="Heading3"/>
      </w:pPr>
      <w:r>
        <w:t>1) 生成提单文本</w:t>
      </w:r>
    </w:p>
    <w:p>
      <w:pPr>
        <w:pStyle w:val="ListBullet"/>
      </w:pPr>
      <w:r>
        <w:t>上传：`提单预填表模板.csv`</w:t>
      </w:r>
    </w:p>
    <w:p>
      <w:pPr>
        <w:pStyle w:val="ListBullet"/>
      </w:pPr>
      <w:r>
        <w:t>点击：`生成提单文本 / Submission Blocks`</w:t>
      </w:r>
    </w:p>
    <w:p/>
    <w:p>
      <w:pPr>
        <w:pStyle w:val="Heading3"/>
      </w:pPr>
      <w:r>
        <w:t>2) 生成HC校验</w:t>
      </w:r>
    </w:p>
    <w:p>
      <w:pPr>
        <w:pStyle w:val="ListBullet"/>
      </w:pPr>
      <w:r>
        <w:t>上传：`HC_Analysis_统一模板.csv`</w:t>
      </w:r>
    </w:p>
    <w:p>
      <w:pPr>
        <w:pStyle w:val="ListBullet"/>
      </w:pPr>
      <w:r>
        <w:t>点击：`生成HC校验 / HC Check`</w:t>
      </w:r>
    </w:p>
    <w:p/>
    <w:p>
      <w:pPr>
        <w:pStyle w:val="Heading2"/>
      </w:pPr>
      <w:r>
        <w:t>四、自动化动作</w:t>
      </w:r>
    </w:p>
    <w:p/>
    <w:p>
      <w:pPr>
        <w:pStyle w:val="Heading3"/>
      </w:pPr>
      <w:r>
        <w:t>1) 自动分摊</w:t>
      </w:r>
    </w:p>
    <w:p>
      <w:pPr>
        <w:pStyle w:val="ListBullet"/>
      </w:pPr>
      <w:r>
        <w:t>上传人数输入CSV</w:t>
      </w:r>
    </w:p>
    <w:p>
      <w:pPr>
        <w:pStyle w:val="ListBullet"/>
      </w:pPr>
      <w:r>
        <w:t>填写期间、主体、供应商、金额等参数</w:t>
      </w:r>
    </w:p>
    <w:p>
      <w:pPr>
        <w:pStyle w:val="ListBullet"/>
      </w:pPr>
      <w:r>
        <w:t>点击：`自动分摊 / Build Allocation`</w:t>
      </w:r>
    </w:p>
    <w:p/>
    <w:p>
      <w:pPr>
        <w:pStyle w:val="Heading3"/>
      </w:pPr>
      <w:r>
        <w:t>2) 成本中心检查</w:t>
      </w:r>
    </w:p>
    <w:p>
      <w:pPr>
        <w:pStyle w:val="ListBullet"/>
      </w:pPr>
      <w:r>
        <w:t>上传 source 文件（待提单源）</w:t>
      </w:r>
    </w:p>
    <w:p>
      <w:pPr>
        <w:pStyle w:val="ListBullet"/>
      </w:pPr>
      <w:r>
        <w:t>上传 status 文件（成本中心状态表）</w:t>
      </w:r>
    </w:p>
    <w:p>
      <w:pPr>
        <w:pStyle w:val="ListBullet"/>
      </w:pPr>
      <w:r>
        <w:t>点击：`成本中心检查 / Check Centers`</w:t>
      </w:r>
    </w:p>
    <w:p/>
    <w:p>
      <w:pPr>
        <w:pStyle w:val="Heading3"/>
      </w:pPr>
      <w:r>
        <w:t>3) 台账自动更新</w:t>
      </w:r>
    </w:p>
    <w:p>
      <w:pPr>
        <w:pStyle w:val="ListBullet"/>
      </w:pPr>
      <w:r>
        <w:t>上传 prefill 文件（必填）</w:t>
      </w:r>
    </w:p>
    <w:p>
      <w:pPr>
        <w:pStyle w:val="ListBullet"/>
      </w:pPr>
      <w:r>
        <w:t>上传 ledger 文件（可选）</w:t>
      </w:r>
    </w:p>
    <w:p>
      <w:pPr>
        <w:pStyle w:val="ListBullet"/>
      </w:pPr>
      <w:r>
        <w:t>点击：`台账自动更新 / Update Ledger`</w:t>
      </w:r>
    </w:p>
    <w:p/>
    <w:p>
      <w:pPr>
        <w:pStyle w:val="Heading2"/>
      </w:pPr>
      <w:r>
        <w:t>五、结果处理</w:t>
      </w:r>
    </w:p>
    <w:p>
      <w:r>
        <w:t>1. 在当前国家区域的 Result 查看执行结果</w:t>
      </w:r>
    </w:p>
    <w:p>
      <w:r>
        <w:t>2. 点击输出链接下载文件</w:t>
      </w:r>
    </w:p>
    <w:p>
      <w:r>
        <w:t>3. 建议将产物归档到当月文件夹</w:t>
      </w:r>
    </w:p>
    <w:p/>
    <w:p>
      <w:pPr>
        <w:pStyle w:val="Heading2"/>
      </w:pPr>
      <w:r>
        <w:t>六、常见问题</w:t>
      </w:r>
    </w:p>
    <w:p/>
    <w:p>
      <w:pPr>
        <w:pStyle w:val="ListBullet"/>
      </w:pPr>
      <w:r>
        <w:t>`Failed to fetch`：后端未启动，重新运行一键启动脚本。</w:t>
      </w:r>
    </w:p>
    <w:p>
      <w:pPr>
        <w:pStyle w:val="ListBullet"/>
      </w:pPr>
      <w:r>
        <w:t>无输出链接：检查上传文件是否为空或字段不匹配模板。</w:t>
      </w:r>
    </w:p>
    <w:p>
      <w:pPr>
        <w:pStyle w:val="ListBullet"/>
      </w:pPr>
      <w:r>
        <w:t>端口占用：先关闭旧的服务进程后重启。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