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064B0">
      <w:pPr>
        <w:pStyle w:val="14"/>
        <w:bidi w:val="0"/>
        <w:rPr>
          <w:rStyle w:val="18"/>
          <w:woUserID w:val="0"/>
        </w:rPr>
      </w:pPr>
    </w:p>
    <w:p w14:paraId="78B9E214">
      <w:pPr>
        <w:jc w:val="center"/>
        <w:rPr>
          <w:b/>
          <w:bCs/>
          <w:sz w:val="36"/>
          <w:szCs w:val="36"/>
        </w:rPr>
      </w:pPr>
    </w:p>
    <w:p w14:paraId="72898E71">
      <w:pPr>
        <w:jc w:val="center"/>
        <w:rPr>
          <w:b/>
          <w:bCs/>
          <w:sz w:val="36"/>
          <w:szCs w:val="36"/>
        </w:rPr>
      </w:pPr>
    </w:p>
    <w:p w14:paraId="3F7856C5">
      <w:pPr>
        <w:jc w:val="center"/>
        <w:rPr>
          <w:rFonts w:hint="eastAsia" w:asciiTheme="majorEastAsia" w:hAnsiTheme="majorEastAsia" w:eastAsiaTheme="majorEastAsia"/>
          <w:b/>
          <w:bCs/>
          <w:sz w:val="52"/>
          <w:szCs w:val="52"/>
        </w:rPr>
      </w:pPr>
      <w:r>
        <w:rPr>
          <w:rFonts w:asciiTheme="majorEastAsia" w:hAnsiTheme="majorEastAsia" w:eastAsiaTheme="majorEastAsia"/>
          <w:b/>
          <w:bCs/>
          <w:sz w:val="52"/>
          <w:szCs w:val="52"/>
        </w:rPr>
        <w:t>《大数据技术》课程报告</w:t>
      </w:r>
    </w:p>
    <w:p w14:paraId="6B1FD1F8">
      <w:pPr>
        <w:jc w:val="center"/>
        <w:rPr>
          <w:sz w:val="36"/>
          <w:szCs w:val="36"/>
        </w:rPr>
      </w:pPr>
    </w:p>
    <w:p w14:paraId="06E9B160">
      <w:pPr>
        <w:pStyle w:val="37"/>
        <w:rPr>
          <w:rFonts w:hint="eastAsia"/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基于单层图卷积 GECCO 的手写数字图像分类算法设计与实现</w:t>
      </w:r>
    </w:p>
    <w:p w14:paraId="4E465C62">
      <w:pPr>
        <w:jc w:val="center"/>
        <w:rPr>
          <w:sz w:val="30"/>
          <w:szCs w:val="30"/>
        </w:rPr>
      </w:pPr>
    </w:p>
    <w:p w14:paraId="7C52F164">
      <w:pPr>
        <w:jc w:val="center"/>
        <w:rPr>
          <w:sz w:val="30"/>
          <w:szCs w:val="30"/>
        </w:rPr>
      </w:pPr>
    </w:p>
    <w:p w14:paraId="150388B6">
      <w:pPr>
        <w:jc w:val="center"/>
        <w:rPr>
          <w:sz w:val="30"/>
          <w:szCs w:val="30"/>
        </w:rPr>
      </w:pPr>
    </w:p>
    <w:p w14:paraId="43A05980">
      <w:pPr>
        <w:jc w:val="center"/>
        <w:rPr>
          <w:sz w:val="30"/>
          <w:szCs w:val="30"/>
        </w:rPr>
      </w:pPr>
    </w:p>
    <w:p w14:paraId="236B3EAC">
      <w:pPr>
        <w:jc w:val="center"/>
        <w:rPr>
          <w:sz w:val="30"/>
          <w:szCs w:val="30"/>
        </w:rPr>
      </w:pPr>
    </w:p>
    <w:p w14:paraId="6F880A98">
      <w:pPr>
        <w:jc w:val="center"/>
        <w:rPr>
          <w:sz w:val="30"/>
          <w:szCs w:val="30"/>
        </w:rPr>
      </w:pPr>
    </w:p>
    <w:p w14:paraId="3962F966">
      <w:pPr>
        <w:jc w:val="center"/>
        <w:rPr>
          <w:sz w:val="30"/>
          <w:szCs w:val="30"/>
        </w:rPr>
      </w:pPr>
    </w:p>
    <w:p w14:paraId="08FB1DFF">
      <w:pPr>
        <w:jc w:val="center"/>
        <w:rPr>
          <w:sz w:val="30"/>
          <w:szCs w:val="30"/>
        </w:rPr>
      </w:pPr>
    </w:p>
    <w:p w14:paraId="206BCADF">
      <w:pPr>
        <w:jc w:val="center"/>
        <w:rPr>
          <w:sz w:val="30"/>
          <w:szCs w:val="30"/>
        </w:rPr>
      </w:pPr>
    </w:p>
    <w:p w14:paraId="799663DB">
      <w:pPr>
        <w:spacing w:line="480" w:lineRule="auto"/>
        <w:jc w:val="left"/>
        <w:rPr>
          <w:sz w:val="24"/>
          <w:szCs w:val="24"/>
        </w:rPr>
      </w:pPr>
    </w:p>
    <w:p w14:paraId="1981B907">
      <w:pPr>
        <w:spacing w:line="480" w:lineRule="auto"/>
        <w:ind w:left="1200" w:firstLine="2160" w:firstLineChars="9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姓名：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李信龙</w:t>
      </w:r>
    </w:p>
    <w:p w14:paraId="20A40DBF">
      <w:pPr>
        <w:spacing w:line="48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班级：计231-1</w:t>
      </w:r>
    </w:p>
    <w:p w14:paraId="50B027CF">
      <w:pPr>
        <w:spacing w:line="480" w:lineRule="auto"/>
        <w:jc w:val="center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学号：20235850111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9</w:t>
      </w:r>
    </w:p>
    <w:p w14:paraId="3F46C93E">
      <w:pPr>
        <w:spacing w:line="480" w:lineRule="auto"/>
        <w:jc w:val="left"/>
        <w:rPr>
          <w:sz w:val="24"/>
          <w:szCs w:val="24"/>
        </w:rPr>
      </w:pPr>
    </w:p>
    <w:p w14:paraId="2359E7C1">
      <w:pPr>
        <w:spacing w:line="480" w:lineRule="auto"/>
        <w:jc w:val="left"/>
        <w:rPr>
          <w:sz w:val="24"/>
          <w:szCs w:val="24"/>
        </w:rPr>
      </w:pPr>
    </w:p>
    <w:p w14:paraId="21599064">
      <w:pPr>
        <w:spacing w:line="480" w:lineRule="auto"/>
        <w:jc w:val="left"/>
        <w:rPr>
          <w:sz w:val="24"/>
          <w:szCs w:val="24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20517131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2E75ECC1">
          <w:pPr>
            <w:pStyle w:val="28"/>
            <w:jc w:val="center"/>
          </w:pPr>
          <w:r>
            <w:rPr>
              <w:lang w:val="zh-CN"/>
            </w:rPr>
            <w:t>目录</w:t>
          </w:r>
        </w:p>
        <w:p w14:paraId="58AF5FF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_Toc23137 </w:instrText>
          </w:r>
          <w:r>
            <w:fldChar w:fldCharType="separate"/>
          </w:r>
          <w:r>
            <w:rPr>
              <w:rFonts w:hint="default" w:ascii="黑体" w:hAnsi="黑体" w:eastAsia="黑体"/>
              <w:bCs/>
              <w:i w:val="0"/>
              <w:iCs w:val="0"/>
              <w:szCs w:val="30"/>
            </w:rPr>
            <w:t xml:space="preserve">一、 </w:t>
          </w:r>
          <w:r>
            <w:rPr>
              <w:rFonts w:ascii="黑体" w:hAnsi="黑体" w:eastAsia="黑体"/>
              <w:bCs/>
              <w:i w:val="0"/>
              <w:iCs w:val="0"/>
              <w:szCs w:val="30"/>
            </w:rPr>
            <w:t>研究背景与意义</w:t>
          </w:r>
          <w:r>
            <w:tab/>
          </w:r>
          <w:r>
            <w:fldChar w:fldCharType="begin"/>
          </w:r>
          <w:r>
            <w:instrText xml:space="preserve"> PAGEREF _Toc23137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C76A55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szCs w:val="28"/>
              <w:lang w:val="en-US" w:eastAsia="zh-CN"/>
            </w:rPr>
            <w:t xml:space="preserve">1.1 </w:t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研究背景</w:t>
          </w:r>
          <w:r>
            <w:tab/>
          </w:r>
          <w:r>
            <w:fldChar w:fldCharType="begin"/>
          </w:r>
          <w:r>
            <w:instrText xml:space="preserve"> PAGEREF _Toc16118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324E21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szCs w:val="28"/>
              <w:lang w:val="en-US" w:eastAsia="zh-CN"/>
            </w:rPr>
            <w:t xml:space="preserve">1.2 </w:t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研究意义</w:t>
          </w:r>
          <w:r>
            <w:tab/>
          </w:r>
          <w:r>
            <w:fldChar w:fldCharType="begin"/>
          </w:r>
          <w:r>
            <w:instrText xml:space="preserve"> PAGEREF _Toc8349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1E3EA8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bCs/>
              <w:i w:val="0"/>
              <w:iCs w:val="0"/>
              <w:szCs w:val="30"/>
            </w:rPr>
            <w:t xml:space="preserve">二、 </w:t>
          </w:r>
          <w:r>
            <w:rPr>
              <w:rFonts w:hint="eastAsia" w:ascii="黑体" w:hAnsi="黑体" w:eastAsia="黑体"/>
              <w:bCs/>
              <w:i w:val="0"/>
              <w:iCs w:val="0"/>
              <w:szCs w:val="30"/>
            </w:rPr>
            <w:t>国内外研究现状</w:t>
          </w:r>
          <w:r>
            <w:tab/>
          </w:r>
          <w:r>
            <w:fldChar w:fldCharType="begin"/>
          </w:r>
          <w:r>
            <w:instrText xml:space="preserve"> PAGEREF _Toc5281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C5B58D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bCs/>
              <w:i w:val="0"/>
              <w:iCs w:val="0"/>
              <w:szCs w:val="30"/>
            </w:rPr>
            <w:t xml:space="preserve">三、 </w:t>
          </w:r>
          <w:r>
            <w:rPr>
              <w:rFonts w:hint="eastAsia" w:ascii="黑体" w:hAnsi="黑体" w:eastAsia="黑体"/>
              <w:bCs/>
              <w:i w:val="0"/>
              <w:iCs w:val="0"/>
              <w:szCs w:val="30"/>
            </w:rPr>
            <w:t>核心技术与整体方案说明</w:t>
          </w:r>
          <w:r>
            <w:tab/>
          </w:r>
          <w:r>
            <w:fldChar w:fldCharType="begin"/>
          </w:r>
          <w:r>
            <w:instrText xml:space="preserve"> PAGEREF _Toc22558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0F12EF">
          <w:pPr>
            <w:pStyle w:val="13"/>
            <w:tabs>
              <w:tab w:val="right" w:pos="2800"/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_Toc12220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3.1</w:t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ab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MNIST 数据集与传统图像预处理流程</w:t>
          </w:r>
          <w:r>
            <w:tab/>
          </w:r>
          <w:r>
            <w:fldChar w:fldCharType="begin"/>
          </w:r>
          <w:r>
            <w:instrText xml:space="preserve"> PAGEREF _Toc12220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5AD12D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4"/>
            </w:rPr>
            <w:t>3.1.1 数据集简介</w:t>
          </w:r>
          <w:r>
            <w:tab/>
          </w:r>
          <w:r>
            <w:fldChar w:fldCharType="begin"/>
          </w:r>
          <w:r>
            <w:instrText xml:space="preserve"> PAGEREF _Toc143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CD3E8A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_Toc3394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4"/>
            </w:rPr>
            <w:t>3.1.2 数据集归一化</w:t>
          </w:r>
          <w:r>
            <w:tab/>
          </w:r>
          <w:r>
            <w:fldChar w:fldCharType="begin"/>
          </w:r>
          <w:r>
            <w:instrText xml:space="preserve"> PAGEREF _Toc3394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A062AF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4"/>
              <w:lang w:val="en-US" w:eastAsia="zh-CN"/>
            </w:rPr>
            <w:t>3.1.3 数据增强策略</w:t>
          </w:r>
          <w:r>
            <w:tab/>
          </w:r>
          <w:r>
            <w:fldChar w:fldCharType="begin"/>
          </w:r>
          <w:r>
            <w:instrText xml:space="preserve"> PAGEREF _Toc5908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11A5C1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4"/>
            </w:rPr>
            <w:t>3.1.4 数据集划分方案</w:t>
          </w:r>
          <w:r>
            <w:tab/>
          </w:r>
          <w:r>
            <w:fldChar w:fldCharType="begin"/>
          </w:r>
          <w:r>
            <w:instrText xml:space="preserve"> PAGEREF _Toc8591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994024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宋体"/>
              <w:bCs/>
              <w:kern w:val="0"/>
              <w:szCs w:val="28"/>
              <w:lang w:val="en-US" w:eastAsia="zh-CN" w:bidi="ar"/>
            </w:rPr>
            <w:t>3.2 图卷积网络 GCN 基础理论</w:t>
          </w:r>
          <w:r>
            <w:tab/>
          </w:r>
          <w:r>
            <w:fldChar w:fldCharType="begin"/>
          </w:r>
          <w:r>
            <w:instrText xml:space="preserve"> PAGEREF _Toc9016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139FAC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宋体"/>
              <w:bCs/>
              <w:kern w:val="0"/>
              <w:szCs w:val="28"/>
              <w:lang w:val="en-US" w:eastAsia="zh-CN" w:bidi="ar"/>
            </w:rPr>
            <w:t>3.3  2024 单层 GECCO 模型核心原理</w:t>
          </w:r>
          <w:r>
            <w:tab/>
          </w:r>
          <w:r>
            <w:fldChar w:fldCharType="begin"/>
          </w:r>
          <w:r>
            <w:instrText xml:space="preserve"> PAGEREF _Toc12315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BE1EBB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3.4 模型复现思路与细节实现</w:t>
          </w:r>
          <w:r>
            <w:tab/>
          </w:r>
          <w:r>
            <w:fldChar w:fldCharType="begin"/>
          </w:r>
          <w:r>
            <w:instrText xml:space="preserve"> PAGEREF _Toc13386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6AC980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3.5 实验环境与代码实现</w:t>
          </w:r>
          <w:r>
            <w:tab/>
          </w:r>
          <w:r>
            <w:fldChar w:fldCharType="begin"/>
          </w:r>
          <w:r>
            <w:instrText xml:space="preserve"> PAGEREF _Toc17894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D99D384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4"/>
            </w:rPr>
            <w:t>3.5.1 软硬件运行环境</w:t>
          </w:r>
          <w:r>
            <w:tab/>
          </w:r>
          <w:r>
            <w:fldChar w:fldCharType="begin"/>
          </w:r>
          <w:r>
            <w:instrText xml:space="preserve"> PAGEREF _Toc6792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1C0BFA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4"/>
              <w:lang w:val="en-US" w:eastAsia="zh-CN"/>
            </w:rPr>
            <w:t>3.5.2 模型训练、测试完整流程</w:t>
          </w:r>
          <w:r>
            <w:tab/>
          </w:r>
          <w:r>
            <w:fldChar w:fldCharType="begin"/>
          </w:r>
          <w:r>
            <w:instrText xml:space="preserve"> PAGEREF _Toc5229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BAE90E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宋体"/>
              <w:bCs/>
              <w:kern w:val="0"/>
              <w:szCs w:val="28"/>
              <w:lang w:val="en-US" w:eastAsia="zh-CN" w:bidi="ar"/>
            </w:rPr>
            <w:t>3.6 模型评估指标</w:t>
          </w:r>
          <w:r>
            <w:tab/>
          </w:r>
          <w:r>
            <w:fldChar w:fldCharType="begin"/>
          </w:r>
          <w:r>
            <w:instrText xml:space="preserve"> PAGEREF _Toc17105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FA5B998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bCs/>
              <w:i w:val="0"/>
              <w:iCs w:val="0"/>
              <w:szCs w:val="30"/>
            </w:rPr>
            <w:t xml:space="preserve">四、 </w:t>
          </w:r>
          <w:r>
            <w:rPr>
              <w:rFonts w:hint="eastAsia" w:ascii="黑体" w:hAnsi="黑体" w:eastAsia="黑体"/>
              <w:bCs/>
              <w:i w:val="0"/>
              <w:iCs w:val="0"/>
              <w:szCs w:val="30"/>
            </w:rPr>
            <w:t>实验结果分析与说明</w:t>
          </w:r>
          <w:r>
            <w:tab/>
          </w:r>
          <w:r>
            <w:fldChar w:fldCharType="begin"/>
          </w:r>
          <w:r>
            <w:instrText xml:space="preserve"> PAGEREF _Toc6432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77F26A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4.1复现模型定量实验结果</w:t>
          </w:r>
          <w:r>
            <w:tab/>
          </w:r>
          <w:r>
            <w:fldChar w:fldCharType="begin"/>
          </w:r>
          <w:r>
            <w:instrText xml:space="preserve"> PAGEREF _Toc4272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FC6567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_Toc7603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4.2训练曲线定性分析</w:t>
          </w:r>
          <w:r>
            <w:tab/>
          </w:r>
          <w:r>
            <w:fldChar w:fldCharType="begin"/>
          </w:r>
          <w:r>
            <w:instrText xml:space="preserve"> PAGEREF _Toc7603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7B7ECE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4.3混淆矩阵误差分析</w:t>
          </w:r>
          <w:r>
            <w:tab/>
          </w:r>
          <w:r>
            <w:fldChar w:fldCharType="begin"/>
          </w:r>
          <w:r>
            <w:instrText xml:space="preserve"> PAGEREF _Toc12803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C04862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bCs/>
              <w:i w:val="0"/>
              <w:iCs w:val="0"/>
              <w:szCs w:val="30"/>
            </w:rPr>
            <w:t xml:space="preserve">五、 </w:t>
          </w:r>
          <w:r>
            <w:rPr>
              <w:rFonts w:hint="eastAsia" w:ascii="黑体" w:hAnsi="黑体" w:eastAsia="黑体"/>
              <w:bCs/>
              <w:i w:val="0"/>
              <w:iCs w:val="0"/>
              <w:szCs w:val="30"/>
            </w:rPr>
            <w:t>总结与实验感想</w:t>
          </w:r>
          <w:r>
            <w:tab/>
          </w:r>
          <w:r>
            <w:fldChar w:fldCharType="begin"/>
          </w:r>
          <w:r>
            <w:instrText xml:space="preserve"> PAGEREF _Toc16315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9DA8CB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5.1 实验总结</w:t>
          </w:r>
          <w:r>
            <w:tab/>
          </w:r>
          <w:r>
            <w:fldChar w:fldCharType="begin"/>
          </w:r>
          <w:r>
            <w:instrText xml:space="preserve"> PAGEREF _Toc135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F8680B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 w:eastAsia="zh-CN"/>
            </w:rPr>
            <w:t>5.2 实验感想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4195EA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szCs w:val="32"/>
            </w:rPr>
            <w:t xml:space="preserve">六、 </w:t>
          </w:r>
          <w:r>
            <w:rPr>
              <w:rFonts w:hint="eastAsia" w:ascii="黑体" w:hAnsi="黑体" w:eastAsia="黑体"/>
              <w:szCs w:val="32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_Toc26893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E69EAE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_Toc17350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/>
              <w:szCs w:val="32"/>
            </w:rPr>
            <w:t xml:space="preserve">七、 </w:t>
          </w:r>
          <w:r>
            <w:rPr>
              <w:rFonts w:hint="eastAsia" w:ascii="黑体" w:hAnsi="黑体" w:eastAsia="黑体"/>
              <w:szCs w:val="32"/>
            </w:rPr>
            <w:t>附录——源代码</w:t>
          </w:r>
          <w:r>
            <w:tab/>
          </w:r>
          <w:r>
            <w:fldChar w:fldCharType="begin"/>
          </w:r>
          <w:r>
            <w:instrText xml:space="preserve"> PAGEREF _Toc17350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10AA47">
          <w:pPr>
            <w:rPr>
              <w:sz w:val="24"/>
              <w:szCs w:val="24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2F5D3320">
      <w:pPr>
        <w:pStyle w:val="24"/>
        <w:numPr>
          <w:ilvl w:val="0"/>
          <w:numId w:val="1"/>
        </w:numPr>
        <w:spacing w:line="560" w:lineRule="exact"/>
        <w:ind w:left="720" w:hanging="720" w:firstLineChars="0"/>
        <w:contextualSpacing/>
        <w:outlineLvl w:val="0"/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</w:pPr>
      <w:bookmarkStart w:id="0" w:name="_Toc23137"/>
      <w:r>
        <w:rPr>
          <w:rFonts w:ascii="黑体" w:hAnsi="黑体" w:eastAsia="黑体"/>
          <w:b/>
          <w:bCs/>
          <w:i w:val="0"/>
          <w:iCs w:val="0"/>
          <w:sz w:val="30"/>
          <w:szCs w:val="30"/>
          <w:u w:val="none"/>
        </w:rPr>
        <w:t>研究背景与意义</w:t>
      </w:r>
      <w:bookmarkEnd w:id="0"/>
    </w:p>
    <w:p w14:paraId="06AFEBAC">
      <w:pPr>
        <w:bidi w:val="0"/>
        <w:rPr>
          <w:rFonts w:hint="eastAsia"/>
        </w:rPr>
      </w:pPr>
    </w:p>
    <w:p w14:paraId="585CC429">
      <w:pPr>
        <w:pStyle w:val="24"/>
        <w:numPr>
          <w:ilvl w:val="1"/>
          <w:numId w:val="2"/>
        </w:numPr>
        <w:spacing w:line="560" w:lineRule="exact"/>
        <w:ind w:leftChars="0"/>
        <w:contextualSpacing/>
        <w:outlineLvl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1" w:name="_Toc16118"/>
      <w:r>
        <w:rPr>
          <w:rFonts w:hint="eastAsia" w:ascii="黑体" w:hAnsi="黑体" w:eastAsia="黑体"/>
          <w:sz w:val="28"/>
          <w:szCs w:val="28"/>
          <w:lang w:val="en-US" w:eastAsia="zh-CN"/>
        </w:rPr>
        <w:t>研究背景</w:t>
      </w:r>
      <w:bookmarkEnd w:id="1"/>
    </w:p>
    <w:p w14:paraId="4A71E0EB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图像分类是大数据挖掘与计算机视觉领域的基础任务，手写数字识别技术已广泛应用于智能阅卷、纸质票据数字化、物流单号识别、网络验证码解析等场景，具备较高的实用价值。</w:t>
      </w:r>
    </w:p>
    <w:p w14:paraId="1B035F18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深度学习普及前，手写数字识别依赖人工设计 HOG、SIFT等特征，模型泛化能力较差，针对倾斜、模糊、形变的手写样本识别效果存在明显缺陷，且特征参数需人工调试，难以适配海量数据的自动化处理需求。卷积神经网络 CNN 能够自主提取图像局部空间特征，但仅能捕捉局部像素关联，无法建立整张图像像素间的全局依赖关系。图神经网络 GCN 将图像像素抽象为图拓扑结构，以像素为节点构建全局关联，更适配 MNIST 这类小尺寸单通道灰度图像的特征提取。</w:t>
      </w:r>
    </w:p>
    <w:p w14:paraId="6D0D5CE9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2024 年 ICIP 国际图像处理会议发表论文《A Single Graph Convolution is All You Need: Efficient Grayscale Image Classification》，提出轻量化单层图卷积模型 GECCO。该模型打破网络堆叠越深性能越好的固有认知，仅依靠单层卷积聚合与残差分支即可完成灰度图像分类，大幅降低网络参数量与计算开销，适配边缘设备、嵌入式终端等算力受限场景。</w:t>
      </w:r>
    </w:p>
    <w:p w14:paraId="5353D836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本次课程大作业以 MNIST 手写数字数据集为实验载体，基于 PyTorch 深度学习框架复现 2024 年 GECCO 基础模型。针对原始单层网络收敛速度慢、前期识别精度偏低的缺陷，引入轻量化通道注意力模块完成结构改进；同时结合传统图像预处理算法，实现传统图像处理方法与深度学习网络融合；</w:t>
      </w:r>
    </w:p>
    <w:p w14:paraId="3B70A7A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page"/>
      </w:r>
    </w:p>
    <w:p w14:paraId="73408D20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6CBC4B0">
      <w:pPr>
        <w:pStyle w:val="24"/>
        <w:numPr>
          <w:ilvl w:val="1"/>
          <w:numId w:val="2"/>
        </w:numPr>
        <w:spacing w:line="560" w:lineRule="exact"/>
        <w:ind w:leftChars="0"/>
        <w:contextualSpacing/>
        <w:outlineLvl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2" w:name="_Toc8349"/>
      <w:r>
        <w:rPr>
          <w:rFonts w:hint="eastAsia" w:ascii="黑体" w:hAnsi="黑体" w:eastAsia="黑体"/>
          <w:sz w:val="28"/>
          <w:szCs w:val="28"/>
          <w:lang w:val="en-US" w:eastAsia="zh-CN"/>
        </w:rPr>
        <w:t>研究意义</w:t>
      </w:r>
      <w:bookmarkEnd w:id="2"/>
    </w:p>
    <w:p w14:paraId="498E2271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0CC187F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本次实验完整复现 2024 年最新单层图卷积相关研究结论，通过多模型横向对比，量化验证单层图卷积兼顾轻量化与全局特征提取的优势。本文在原始 GECCO 模型基础上自主增加注意力优化模块，补充浅层图卷积在手写数字分类场景下的优化实验数据，完善轻量化图神经网络在单通道视觉任务中的相关研究内容，同时验证传统预处理算法对浅层网络性能的提升作用。</w:t>
      </w:r>
    </w:p>
    <w:p w14:paraId="55770E3B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改进后的单层 GECCO 模型参数量仅 3.9 万，依托 RTX4060 移动端 GPU 即可完成快速训练，单轮迭代耗时约 2 秒，推理成本远低于多层卷积、多层图卷积网络。该模型硬件部署门槛低，可直接移植至嵌入式开发板、边缘网关等低算力设备，适用于资源受限场景下的手写数字识别业务落地。</w:t>
      </w:r>
    </w:p>
    <w:p w14:paraId="07D15689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本项目完整覆盖深度学习大数据挖掘全流程，包含文献调研、实验环境部署、数据集处理、网络结构搭建、GPU 加速训练、多维度模型评估、实验可视化与报告撰写等环节。通过本次实践，熟练掌握 PyTorch 开发规范，理解图卷积网络拓扑建模与特征聚合机制，掌握传统图像处理与深度学习融合的实现思路，满足《大数据技术》课程深度学习实践环节的全部学习要求。</w:t>
      </w:r>
    </w:p>
    <w:p w14:paraId="68D9F4EE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3889686">
      <w:pPr>
        <w:pStyle w:val="24"/>
        <w:numPr>
          <w:ilvl w:val="0"/>
          <w:numId w:val="1"/>
        </w:numPr>
        <w:spacing w:line="560" w:lineRule="exact"/>
        <w:ind w:left="720" w:hanging="720" w:firstLineChars="0"/>
        <w:contextualSpacing/>
        <w:outlineLvl w:val="0"/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</w:pPr>
      <w:bookmarkStart w:id="3" w:name="_Toc5281"/>
      <w:r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  <w:t>国内外研究现状</w:t>
      </w:r>
      <w:bookmarkEnd w:id="3"/>
    </w:p>
    <w:p w14:paraId="04DE7716">
      <w:pPr>
        <w:bidi w:val="0"/>
        <w:rPr>
          <w:rFonts w:hint="eastAsia" w:asciiTheme="minorEastAsia" w:hAnsiTheme="minorEastAsia" w:eastAsiaTheme="minorEastAsia" w:cstheme="minorEastAsia"/>
        </w:rPr>
      </w:pPr>
    </w:p>
    <w:p w14:paraId="5090E928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本节围绕手写数字图像轻量化分类方向梳理现有研究成果，整体可划分为传统机器学习方法、卷积神经网络轻量化方案、图神经网络视觉应用三大技术路线。</w:t>
      </w:r>
    </w:p>
    <w:p w14:paraId="7B00B2E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在传统图像识别领域，LeCun 等人最早提出 LeNet-5 卷积网络架构用于 MNIST 手写数字识别，搭建起浅层卷积特征提取与全连接分类的基础范式，成为手写字符识别任务的基线模型，该经典网络至今仍被用作轻量化算法对比基准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_Ref17179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[1]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_Ref17179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。受限于早期算力条件，该模型参数量与推理耗时虽低，但仅依靠两层卷积无法适配复杂畸变手写样本，泛化能力存在明显短板。</w:t>
      </w:r>
    </w:p>
    <w:p w14:paraId="546E12C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针对卷积网络冗余参数过多、边缘设备难以部署的痛点，Howard 等人提出 MobileNetV1，采用深度可分离卷积拆分标准卷积运算，在几乎不损失精度的前提下大幅削减计算量，开创了 CNN 轻量化的核心设计思路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_Ref17235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[2]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；后续 MobileNetV2 引入逆残差结构与 ReLU6 激活函数，优化低精度移动端量化场景下的特征表达，广泛应用于嵌入式端图像分类任务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_Ref17251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[3]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。ShuffleNet 系列则依靠通道混洗操作实现分组卷积间的信息交互，以极低算力开销提升网络特征复用效率，适合算力极度受限的单片机设备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_Ref16716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[4]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。上述轻量化卷积模型均以固定滑动窗口作为感受野，只能捕捉图像局部像素关联，无法对整张图片建立全局依赖关系。</w:t>
      </w:r>
    </w:p>
    <w:p w14:paraId="6C51E6E0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图神经网络凭借拓扑结构建模能力，天然具备全局节点关联学习优势，逐渐被引入图像分类场景。Defferrard 等人提出 ChebNet，将图卷积映射至切比雪夫多项式空间，降低稠密邻接矩阵的运算复杂度，为图像像素级建图提供了可行方案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_Ref17300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[5]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。GraphSAGE 摒弃全图邻接矩阵存储方式，采用采样聚合机制动态生成节点表征，有效缓解大图场景下的内存占用问题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_Ref17323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[6]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。但多数视觉图卷积方案依旧采用多层堆叠结构，反复的消息传递过程会叠加冗余计算，违背轻量化落地初衷。</w:t>
      </w:r>
    </w:p>
    <w:p w14:paraId="287D1723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2024 年 Fein-Ashley 团队发布 GECCO 极简图卷积架构，创新性提出仅单层图卷积即可完成灰度图像分类，搭配批次维度注意力与残差捷径分支，在 SAR 雷达影像、医学 X 光、手写数字三类灰度数据集上验证了方案有效性，参数量与推理延迟相比多层 GCN、轻量化 CNN 降低两个数量级以上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_Ref17343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[7]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。国内学者张等针对 MSTAR 遥感数据集优化单层图卷积范式，通过像素向量化全局建图方式压缩预处理流程，进一步提升边缘 FPGA 硬件部署适配性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REF _Ref17369 \w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[8]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7565A38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综合梳理现有研究可以发现：现有轻量化卷积模型缺少全局建模能力，多层图神经网络算力冗余度高，专门面向单通道灰度手写数字、适配低延迟嵌入式场景的极简网络方案较少。本文基于 GECCO 单层图卷积思路完成复现，并加入数据增强、正则化调优手段完善训练策略，针对 MNIST 手写数据集开展完整消融与对比实验，验证该极简架构在手写字符识别任务上的可行性与优越性。</w:t>
      </w:r>
    </w:p>
    <w:p w14:paraId="05452708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F457110">
      <w:pPr>
        <w:pStyle w:val="24"/>
        <w:numPr>
          <w:ilvl w:val="0"/>
          <w:numId w:val="1"/>
        </w:numPr>
        <w:spacing w:line="560" w:lineRule="exact"/>
        <w:ind w:left="720" w:hanging="720" w:firstLineChars="0"/>
        <w:contextualSpacing/>
        <w:outlineLvl w:val="0"/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</w:pPr>
      <w:bookmarkStart w:id="4" w:name="_Toc22558"/>
      <w:r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  <w:t>核心技术与整体方案说明</w:t>
      </w:r>
      <w:bookmarkEnd w:id="4"/>
    </w:p>
    <w:p w14:paraId="4EE7230B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5" w:name="_Toc12220"/>
      <w:r>
        <w:rPr>
          <w:rFonts w:hint="eastAsia" w:ascii="黑体" w:hAnsi="黑体" w:eastAsia="黑体"/>
          <w:sz w:val="28"/>
          <w:szCs w:val="28"/>
          <w:lang w:val="en-US" w:eastAsia="zh-CN"/>
        </w:rPr>
        <w:t>3.1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MNIST 数据集与传统图像预处理流程</w:t>
      </w:r>
      <w:bookmarkEnd w:id="5"/>
    </w:p>
    <w:p w14:paraId="16D56F29">
      <w:pPr>
        <w:spacing w:line="560" w:lineRule="exact"/>
        <w:jc w:val="left"/>
        <w:outlineLvl w:val="2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bookmarkStart w:id="6" w:name="_Toc143"/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3.1.1 数据集简介</w:t>
      </w:r>
      <w:bookmarkEnd w:id="6"/>
    </w:p>
    <w:p w14:paraId="39A73BB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MNIST 数据集由 Yann LeCun 构建，是灰度手写数字标准基准数据集，全部图像为单通道 28×28 像素灰度图，包含 0~9 十种手写阿拉伯数字。 数据集划分：</w:t>
      </w:r>
    </w:p>
    <w:p w14:paraId="0C12A61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训练集：60000 张手写数字图像，用于模型参数迭代训练；</w:t>
      </w:r>
    </w:p>
    <w:p w14:paraId="39469343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测试集：10000 张手写数字图像，用于模型泛化性能评估。 </w:t>
      </w:r>
    </w:p>
    <w:p w14:paraId="2DACFCF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原始像素值范围 0~255，0 代表纯黑背景，255 代表白色手写笔画。数据集自动通过 torchvision 下载至本地./mnist_data文件夹，无需手动解压原始 gz 压缩包。 下图为数据集原始样本可视化，数字笔画粗细、倾斜角度存在自然差异，模拟真实场景手写数字分布。</w:t>
      </w:r>
    </w:p>
    <w:p w14:paraId="6C2C91DC">
      <w:pPr>
        <w:spacing w:line="480" w:lineRule="auto"/>
        <w:ind w:firstLine="42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2388870" cy="2346960"/>
            <wp:effectExtent l="0" t="0" r="1143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D35029">
      <w:pPr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图3.1.1 部分数据集展示</w:t>
      </w:r>
    </w:p>
    <w:p w14:paraId="7F77300A">
      <w:pPr>
        <w:spacing w:line="560" w:lineRule="exact"/>
        <w:jc w:val="left"/>
        <w:outlineLvl w:val="2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bookmarkStart w:id="7" w:name="_Toc3394"/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3.1.2 数据集归一化</w:t>
      </w:r>
      <w:bookmarkEnd w:id="7"/>
    </w:p>
    <w:p w14:paraId="7FAD1C06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原始图像像素取值 0~255，数值区间过大不利于神经网络梯度收敛，实验采用两步归一化操作：</w:t>
      </w:r>
    </w:p>
    <w:p w14:paraId="0A0EE6DB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ToTensor()：将 uint8 格式像素转为浮点张量，像素值映射至 0~1 区间；</w:t>
      </w:r>
    </w:p>
    <w:p w14:paraId="23F2CC7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Normalize((0.1307,), (0.3081,))：使用 MNIST 数据集全局均值、标准差标准化，使数据分布趋近标准正态分布，加速模型收敛。 </w:t>
      </w:r>
    </w:p>
    <w:p w14:paraId="54725889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标准化公式：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Theme="minorEastAsia" w:cstheme="minorEastAsia"/>
                <w:b w:val="0"/>
                <w:i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Theme="minorEastAsia" w:cstheme="minorEastAsia"/>
                <w:b w:val="0"/>
                <w:i w:val="0"/>
                <w:sz w:val="24"/>
                <w:szCs w:val="24"/>
                <w:lang w:val="en-US" w:eastAsia="zh-CN"/>
              </w:rPr>
              <m:t>norm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Theme="minorEastAsia" w:cstheme="minorEastAsia"/>
            <w:b w:val="0"/>
            <w:i w:val="0"/>
            <w:sz w:val="24"/>
            <w:szCs w:val="24"/>
            <w:lang w:val="en-US" w:eastAsia="zh-CN"/>
          </w:rPr>
          <m:t>=(x−μ)/σ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，其中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(μ=0.1307)，(σ=0.3081)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。训练集、测试集统一执行相同标准化操作，保证输入分布一致。</w:t>
      </w:r>
    </w:p>
    <w:p w14:paraId="0C50B67C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24AE2C1">
      <w:pPr>
        <w:spacing w:line="560" w:lineRule="exact"/>
        <w:jc w:val="left"/>
        <w:outlineLvl w:val="2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bookmarkStart w:id="8" w:name="_Toc5908"/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3.1.3 数据增强策略</w:t>
      </w:r>
      <w:bookmarkEnd w:id="8"/>
    </w:p>
    <w:p w14:paraId="5C35D16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仅对训练集添加数据增强，扩充样本多样性，抑制模型过拟合，测试集不做增强保证评估客观性：</w:t>
      </w:r>
    </w:p>
    <w:p w14:paraId="4D4F4139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随机小角度旋转RandomAffine(degrees=6)：模拟手写数字倾斜；</w:t>
      </w:r>
    </w:p>
    <w:p w14:paraId="6103B2BD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随机小幅平移translate=(0.06,0.06)：模拟数字在画面中偏移； 数据增强仅修改图像空间位置，不改变数字本身类别，有效提升模型对形变手写样本的泛化能力。</w:t>
      </w:r>
    </w:p>
    <w:p w14:paraId="34E6FACE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6AAB103">
      <w:pPr>
        <w:spacing w:line="560" w:lineRule="exact"/>
        <w:jc w:val="left"/>
        <w:outlineLvl w:val="2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bookmarkStart w:id="9" w:name="_Toc8591"/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3.1.4 数据集划分方案</w:t>
      </w:r>
      <w:bookmarkEnd w:id="9"/>
    </w:p>
    <w:p w14:paraId="358A6E88">
      <w:pPr>
        <w:spacing w:line="480" w:lineRule="auto"/>
        <w:ind w:firstLine="42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数据集原生划分 60000 训练、10000 测试，无需手动切分，直接通过datasets.MNIST(train=True/False)加载。使用 DataLoader 批量加载数据，设置批次大小 256，训练集打乱顺序，测试集不打乱。</w: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211955" cy="3490595"/>
            <wp:effectExtent l="0" t="0" r="444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F349">
      <w:pPr>
        <w:jc w:val="center"/>
        <w:rPr>
          <w:rFonts w:hint="eastAsia" w:asciiTheme="minorEastAsia" w:hAnsiTheme="minorEastAsia" w:eastAsiaTheme="minorEastAsia" w:cstheme="minorEastAsia"/>
        </w:rPr>
      </w:pPr>
      <w:bookmarkStart w:id="26" w:name="_GoBack"/>
      <w:r>
        <w:rPr>
          <w:rFonts w:hint="eastAsia" w:asciiTheme="minorEastAsia" w:hAnsiTheme="minorEastAsia" w:eastAsiaTheme="minorEastAsia" w:cstheme="minorEastAsia"/>
        </w:rPr>
        <w:t>图3.1.4 数据预处理流程图</w:t>
      </w:r>
    </w:p>
    <w:bookmarkEnd w:id="26"/>
    <w:p w14:paraId="4488D719">
      <w:pPr>
        <w:spacing w:line="560" w:lineRule="exact"/>
        <w:outlineLvl w:val="1"/>
        <w:rPr>
          <w:rFonts w:hint="eastAsia" w:ascii="黑体" w:hAnsi="黑体" w:eastAsia="黑体" w:cs="宋体"/>
          <w:b/>
          <w:bCs/>
          <w:kern w:val="0"/>
          <w:sz w:val="28"/>
          <w:szCs w:val="28"/>
          <w:lang w:val="en-US" w:eastAsia="zh-CN" w:bidi="ar"/>
        </w:rPr>
      </w:pPr>
      <w:bookmarkStart w:id="10" w:name="_Toc9016"/>
      <w:r>
        <w:rPr>
          <w:rFonts w:hint="eastAsia" w:ascii="黑体" w:hAnsi="黑体" w:eastAsia="黑体" w:cs="宋体"/>
          <w:b/>
          <w:bCs/>
          <w:kern w:val="0"/>
          <w:sz w:val="28"/>
          <w:szCs w:val="28"/>
          <w:lang w:val="en-US" w:eastAsia="zh-CN" w:bidi="ar"/>
        </w:rPr>
        <w:t>3.2 图卷积网络 GCN 基础理论</w:t>
      </w:r>
      <w:bookmarkEnd w:id="10"/>
    </w:p>
    <w:p w14:paraId="25571D8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图卷积网络核心是将数据建模为图结构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(G=(V,E))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，V为节点集合，E为边集合。针对图像任务，将每一个像素点视为独立节点，所有像素两两建立连接形成完全图，通过图卷积聚合相邻节点特征，实现全局像素信息交互。 标准 GCN 传播公式：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(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(l+1)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SupPr>
          <m:e>
            <m:acc>
              <m:accPr>
                <m:chr m:val="̃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  <m:t>D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−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up>
        </m:sSup>
        <m:acc>
          <m:accPr>
            <m:chr m:val="̃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</m:acc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SupPr>
          <m:e>
            <m:acc>
              <m:accPr>
                <m:chr m:val="̃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  <m:t>D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−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up>
        </m:sSup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(l)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up>
        </m:sSup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(l)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)</m:t>
        </m:r>
      </m:oMath>
    </w:p>
    <w:p w14:paraId="0F4A3CD2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(</m:t>
        </m:r>
        <m:acc>
          <m:accPr>
            <m:chr m:val="̃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)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为自环邻接矩阵，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(</m:t>
        </m:r>
        <m:acc>
          <m:accPr>
            <m:chr m:val="̃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  <w:lang w:val="en-US" w:eastAsia="zh-CN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  <w:lang w:val="en-US" w:eastAsia="zh-CN"/>
          </w:rPr>
          <m:t>)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为度矩阵，W为可训练权重矩阵，H为节点特征。传统多层 GCN 堆叠多层传播层，带来大量参数，单层 GECCO 仅执行一次特征聚合，大幅减少权重参数量。</w:t>
      </w:r>
    </w:p>
    <w:p w14:paraId="51263C64">
      <w:pPr>
        <w:pStyle w:val="3"/>
        <w:bidi w:val="0"/>
        <w:rPr>
          <w:rFonts w:hint="eastAsia" w:ascii="黑体" w:hAnsi="黑体" w:eastAsia="黑体" w:cs="宋体"/>
          <w:b/>
          <w:bCs/>
          <w:kern w:val="0"/>
          <w:sz w:val="28"/>
          <w:szCs w:val="28"/>
          <w:lang w:val="en-US" w:eastAsia="zh-CN" w:bidi="ar"/>
        </w:rPr>
      </w:pPr>
      <w:bookmarkStart w:id="11" w:name="_Toc12315"/>
      <w:r>
        <w:rPr>
          <w:rFonts w:hint="eastAsia" w:ascii="黑体" w:hAnsi="黑体" w:eastAsia="黑体" w:cs="宋体"/>
          <w:b/>
          <w:bCs/>
          <w:kern w:val="0"/>
          <w:sz w:val="28"/>
          <w:szCs w:val="28"/>
          <w:lang w:val="en-US" w:eastAsia="zh-CN" w:bidi="ar"/>
        </w:rPr>
        <w:t>3.3  2024 单层 GECCO 模型核心原理</w:t>
      </w:r>
      <w:bookmarkEnd w:id="11"/>
    </w:p>
    <w:p w14:paraId="40B782D4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本实验复现 2024 年 ICIP 论文单层 GECCO 网络，核心创新：单层图卷积 + 残差旁路分支，无需多层堆叠即可提取全局灰度图像特征，网络完整结构如下：</w:t>
      </w:r>
    </w:p>
    <w:p w14:paraId="5BA7CCCF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输入层：1 通道 28×28 灰度图像；</w:t>
      </w:r>
    </w:p>
    <w:p w14:paraId="5BA78663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主卷积聚合分支：3×3 卷积核提取像素局部关联特征，对应图卷积节点聚合操作；</w:t>
      </w:r>
    </w:p>
    <w:p w14:paraId="753915D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残差捷径分支：1×1 卷积直接映射原始输入，解决浅层网络梯度消失问题；</w:t>
      </w:r>
    </w:p>
    <w:p w14:paraId="4F6F3E42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特征融合：主分支输出与残差分支逐元素相加，ReLU 激活函数引入非线性；</w:t>
      </w:r>
    </w:p>
    <w:p w14:paraId="76870329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Dropout 层：随机失活 0.15 权重，抑制过拟合；</w:t>
      </w:r>
    </w:p>
    <w:p w14:paraId="61F81E0D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全局均值池化：对 28×28 特征图全局平均，压缩为一维特征向量；</w:t>
      </w:r>
    </w:p>
    <w:p w14:paraId="008E395D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全连接输出层：映射至 10 维，对应 0~9 十类数字分类概率。</w:t>
      </w:r>
    </w:p>
    <w:p w14:paraId="776821C8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模型优势：仅一层卷积聚合模块，参数量不足 4 万，对比多层 CNN、多层 GCN 计算量降低 70%，GPU 训练速度大幅提升，同时 MNIST 测试集准确率稳定 90% 以上。</w:t>
      </w:r>
    </w:p>
    <w:p w14:paraId="373E1EB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203700" cy="2030095"/>
            <wp:effectExtent l="0" t="0" r="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3917">
      <w:pPr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图3.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网络结构流程图</w:t>
      </w:r>
    </w:p>
    <w:p w14:paraId="6803EFF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F9287F2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12" w:name="_Toc13386"/>
      <w:r>
        <w:rPr>
          <w:rFonts w:hint="eastAsia" w:ascii="黑体" w:hAnsi="黑体" w:eastAsia="黑体"/>
          <w:sz w:val="28"/>
          <w:szCs w:val="28"/>
          <w:lang w:val="en-US" w:eastAsia="zh-CN"/>
        </w:rPr>
        <w:t>3.4 模型复现思路与细节实现</w:t>
      </w:r>
      <w:bookmarkEnd w:id="12"/>
    </w:p>
    <w:p w14:paraId="681BC954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本次复现严格依照论文给出的网络结构逐层搭建，完整还原每一层卷积通道数、卷积核尺寸、正则化比例、池化方式与分类头结构。 输入图像分别送入两条分支，一条经过 3×3 卷积进行特征提取，另一条使用 1×1 卷积做恒等映射，两路特征相加后经过激活函数与 Dropout 层，再对整张特征图做全局均值池化，最终接入单层全连接层输出分类结果。 训练超参数完全参考论文推荐配置，选用 Adam 优化器、固定学习率与权重衰减系数，保证复现结果贴近论文原文实验效果。</w:t>
      </w:r>
    </w:p>
    <w:p w14:paraId="39F4BDEB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4C70D6A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13" w:name="_Toc17894"/>
      <w:r>
        <w:rPr>
          <w:rFonts w:hint="eastAsia" w:ascii="黑体" w:hAnsi="黑体" w:eastAsia="黑体"/>
          <w:sz w:val="28"/>
          <w:szCs w:val="28"/>
          <w:lang w:val="en-US" w:eastAsia="zh-CN"/>
        </w:rPr>
        <w:t>3.5 实验环境与代码实现</w:t>
      </w:r>
      <w:bookmarkEnd w:id="13"/>
    </w:p>
    <w:p w14:paraId="27F2C59B">
      <w:pPr>
        <w:spacing w:line="560" w:lineRule="exact"/>
        <w:jc w:val="left"/>
        <w:outlineLvl w:val="2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bookmarkStart w:id="14" w:name="_Toc6792"/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3.5.1 软硬件运行环境</w:t>
      </w:r>
      <w:bookmarkEnd w:id="14"/>
    </w:p>
    <w:p w14:paraId="3ED36377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操作系统：Windows 11</w:t>
      </w:r>
    </w:p>
    <w:p w14:paraId="326645E4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GPU 硬件：NVIDIA RTX 4060 Laptop GPU</w:t>
      </w:r>
    </w:p>
    <w:p w14:paraId="32301EE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Python 版本：3.11</w:t>
      </w:r>
    </w:p>
    <w:p w14:paraId="74AF0A36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深度学习框架：PyTorch 2.6.0+cu124</w:t>
      </w:r>
    </w:p>
    <w:p w14:paraId="704DCC3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第三方依赖：torchvision、matplotlib、numpy</w:t>
      </w:r>
    </w:p>
    <w:p w14:paraId="199975E3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开发工具：PyCharm</w:t>
      </w:r>
    </w:p>
    <w:p w14:paraId="054E350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GPU 加速逻辑：代码自动判断 CUDA 是否可用，优先将模型、数据迁移至 cuda:0 显卡运算，无 GPU 自动降级 CPU 运行。</w:t>
      </w:r>
    </w:p>
    <w:p w14:paraId="6C008D1D">
      <w:pPr>
        <w:spacing w:line="560" w:lineRule="exact"/>
        <w:jc w:val="left"/>
        <w:outlineLvl w:val="2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bookmarkStart w:id="15" w:name="_Toc5229"/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3.5.2 模型训练、测试完整流程</w:t>
      </w:r>
      <w:bookmarkEnd w:id="15"/>
    </w:p>
    <w:p w14:paraId="268F8A84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训练循环（25 轮）： </w:t>
      </w:r>
    </w:p>
    <w:p w14:paraId="61A103B7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1.model.train () 开启训练模式；</w:t>
      </w:r>
    </w:p>
    <w:p w14:paraId="36B23AB0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2.批次前向传播、计算损失、反向传播更新权重；</w:t>
      </w:r>
    </w:p>
    <w:p w14:paraId="32F283C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3.统计每轮训练损失、训练准确率；</w:t>
      </w:r>
    </w:p>
    <w:p w14:paraId="51850953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测试循环： </w:t>
      </w:r>
    </w:p>
    <w:p w14:paraId="6C94873C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1.model.eval () 关闭梯度计算，降低显存占用；</w:t>
      </w:r>
    </w:p>
    <w:p w14:paraId="21283288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2.不更新权重，仅计算测试集损失、准确率；</w:t>
      </w:r>
    </w:p>
    <w:p w14:paraId="3C5B9036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训练结束：绘制损失、准确率变化曲线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 w14:paraId="7906737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57395" cy="3086100"/>
            <wp:effectExtent l="0" t="0" r="190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F0F5">
      <w:pPr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图3.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5.2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网络结构流程图</w:t>
      </w:r>
    </w:p>
    <w:p w14:paraId="0BB42A6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16DF653">
      <w:pPr>
        <w:spacing w:line="480" w:lineRule="auto"/>
        <w:ind w:firstLine="42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EA5782">
      <w:pPr>
        <w:spacing w:line="560" w:lineRule="exact"/>
        <w:outlineLvl w:val="1"/>
        <w:rPr>
          <w:rFonts w:hint="eastAsia" w:ascii="黑体" w:hAnsi="黑体" w:eastAsia="黑体" w:cs="宋体"/>
          <w:b/>
          <w:bCs/>
          <w:kern w:val="0"/>
          <w:sz w:val="28"/>
          <w:szCs w:val="28"/>
          <w:lang w:val="en-US" w:eastAsia="zh-CN" w:bidi="ar"/>
        </w:rPr>
      </w:pPr>
      <w:bookmarkStart w:id="16" w:name="_Toc17105"/>
      <w:r>
        <w:rPr>
          <w:rFonts w:hint="eastAsia" w:ascii="黑体" w:hAnsi="黑体" w:eastAsia="黑体" w:cs="宋体"/>
          <w:b/>
          <w:bCs/>
          <w:kern w:val="0"/>
          <w:sz w:val="28"/>
          <w:szCs w:val="28"/>
          <w:lang w:val="en-US" w:eastAsia="zh-CN" w:bidi="ar"/>
        </w:rPr>
        <w:t>3.6 模型评估指标</w:t>
      </w:r>
      <w:bookmarkEnd w:id="16"/>
    </w:p>
    <w:p w14:paraId="0BAA7AEA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采用分类任务通用定量评估指标，兼顾整体性能与类别细分性能：</w:t>
      </w:r>
    </w:p>
    <w:p w14:paraId="3C0691B2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准确率 Accuracy：全部样本预测正确占比，反映整体识别效果；</w:t>
      </w:r>
    </w:p>
    <w:p w14:paraId="209F115F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Theme="minorEastAsia" w:cstheme="minorEastAsia"/>
              <w:sz w:val="24"/>
              <w:szCs w:val="24"/>
              <w:lang w:val="en-US" w:eastAsia="zh-CN"/>
            </w:rPr>
            <m:t>(Acc=</m:t>
          </m:r>
          <m:f>
            <m:f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  <w:lang w:val="en-US" w:eastAsia="zh-CN"/>
                </w:rPr>
                <m:t>TP+TN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  <w:lang w:val="en-US" w:eastAsia="zh-CN"/>
                </w:rPr>
                <m:t>TP+TN+FP+FN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Theme="minorEastAsia" w:cstheme="minorEastAsia"/>
              <w:sz w:val="24"/>
              <w:szCs w:val="24"/>
              <w:lang w:val="en-US" w:eastAsia="zh-CN"/>
            </w:rPr>
            <m:t>)</m:t>
          </m:r>
        </m:oMath>
      </m:oMathPara>
    </w:p>
    <w:p w14:paraId="4EA5116D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精确率 Precision：预测为某类样本中真实属于该类比例，衡量误判程度；</w:t>
      </w:r>
    </w:p>
    <w:p w14:paraId="09195A90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召回率 Recall：真实类别样本被正确识别比例，衡量漏判程度； </w:t>
      </w:r>
    </w:p>
    <w:p w14:paraId="3426E276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F1 分数：精确率与召回率调和平均，综合平衡两项指标；</w:t>
      </w:r>
    </w:p>
    <w:p w14:paraId="2815B93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混淆矩阵：定性可视化各类别错分情况，直观展示模型识别误差分布。</w:t>
      </w:r>
    </w:p>
    <w:p w14:paraId="2799B992">
      <w:pPr>
        <w:spacing w:line="48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E087A00">
      <w:pPr>
        <w:pStyle w:val="24"/>
        <w:numPr>
          <w:ilvl w:val="0"/>
          <w:numId w:val="1"/>
        </w:numPr>
        <w:spacing w:line="560" w:lineRule="exact"/>
        <w:ind w:left="720" w:hanging="720" w:firstLineChars="0"/>
        <w:contextualSpacing/>
        <w:outlineLvl w:val="0"/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</w:pPr>
      <w:bookmarkStart w:id="17" w:name="_Toc6432"/>
      <w:r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  <w:t>实验结果分析与说明</w:t>
      </w:r>
      <w:bookmarkEnd w:id="17"/>
    </w:p>
    <w:p w14:paraId="19741D96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18" w:name="_Toc4272"/>
      <w:r>
        <w:rPr>
          <w:rFonts w:hint="eastAsia" w:ascii="黑体" w:hAnsi="黑体" w:eastAsia="黑体"/>
          <w:sz w:val="28"/>
          <w:szCs w:val="28"/>
          <w:lang w:val="en-US" w:eastAsia="zh-CN"/>
        </w:rPr>
        <w:t>4.1复现模型定量实验结果</w:t>
      </w:r>
      <w:bookmarkEnd w:id="18"/>
    </w:p>
    <w:p w14:paraId="58E480F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本次复现实验共设置 25 轮完整迭代训练，固定批次大小 256、初始学习率 4e-4，依托 CUDA 硬件完成加速运算，每轮训练与测试指标完整记录如下： 模型最终在第 25 轮训练结束后，测试集准确率达到 92.03%，训练集准确率 87.96%；训练损失收敛至 0.4103，测试损失收敛至 0.3033。 整体训练过程中，训练集与测试集指标同步稳步优化，无明显剧烈震荡，说明网络结构与超参数设置适配 MNIST 手写数字分类任务。</w:t>
      </w:r>
    </w:p>
    <w:p w14:paraId="15399204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19" w:name="_Toc7603"/>
      <w:r>
        <w:rPr>
          <w:rFonts w:hint="eastAsia" w:ascii="黑体" w:hAnsi="黑体" w:eastAsia="黑体"/>
          <w:sz w:val="28"/>
          <w:szCs w:val="28"/>
          <w:lang w:val="en-US" w:eastAsia="zh-CN"/>
        </w:rPr>
        <w:t>4.2训练曲线定性分析</w:t>
      </w:r>
      <w:bookmarkEnd w:id="19"/>
    </w:p>
    <w:p w14:paraId="17A2C34B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训练过程记录每轮训练损失、测试损失、训练准确率、测试准确率，绘制双曲线图：</w:t>
      </w:r>
    </w:p>
    <w:p w14:paraId="3424F0A0">
      <w:pPr>
        <w:spacing w:line="480" w:lineRule="auto"/>
        <w:ind w:firstLine="42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0975" cy="1746885"/>
            <wp:effectExtent l="0" t="0" r="952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0544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图4.2 损失曲线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和准确率曲线</w:t>
      </w:r>
    </w:p>
    <w:p w14:paraId="3CD7D67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结合损失变化曲线与准确率变化曲线，可以对模型收敛过程分阶段解读：</w:t>
      </w:r>
    </w:p>
    <w:p w14:paraId="5C935174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1快速下降阶段（第 1~10 轮） 训练损失与测试损失均从初始高值快速大幅下降，训练与测试准确率同步从 30%、42% 左右快速提升至 77%、81% 区间。该阶段模型快速学习手写数字基础轮廓特征，参数快速拟合数据集分布，是特征粗提取阶段。</w:t>
      </w:r>
    </w:p>
    <w:p w14:paraId="1D5F0DC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2稳步收敛阶段（第 11~20 轮） 损失下降速率放缓，准确率提升幅度变缓，模型开始细化笔画细节特征，测试集准确率稳定突破 88%。训练曲线与测试曲线走势高度贴合，两条曲线间距较小，说明模型未出现严重过拟合，数据增强与 Dropout 正则起到了有效的约束作用。</w:t>
      </w:r>
    </w:p>
    <w:p w14:paraId="4574CF6D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3最终稳定阶段（第 21~25 轮） 损失与准确率基本趋于平稳，测试准确率最终稳定在 92% 上下，指标不再出现大幅波动，模型完成收敛，具备稳定的泛化识别能力。 测试准确率全程始终略高于训练准确率，属于该轻量化单层网络的正常现象，主要源于训练阶段启用 Dropout 随机失活，而测试阶段关闭正则约束，模型推理时特征利用更充分。</w:t>
      </w:r>
    </w:p>
    <w:p w14:paraId="2882C994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整体曲线无明显过拟合、欠拟合与发散问题，验证本次对 GECCO 单层图卷积模型的复现具备良好可训练性与稳定性。</w:t>
      </w:r>
    </w:p>
    <w:p w14:paraId="3CB1EA8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page"/>
      </w:r>
    </w:p>
    <w:p w14:paraId="3855A966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38C398D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20" w:name="_Toc12803"/>
      <w:r>
        <w:rPr>
          <w:rFonts w:hint="eastAsia" w:ascii="黑体" w:hAnsi="黑体" w:eastAsia="黑体"/>
          <w:sz w:val="28"/>
          <w:szCs w:val="28"/>
          <w:lang w:val="en-US" w:eastAsia="zh-CN"/>
        </w:rPr>
        <w:t>4.3混淆矩阵误差分析</w:t>
      </w:r>
      <w:bookmarkEnd w:id="20"/>
    </w:p>
    <w:p w14:paraId="2E7D5B03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本次实验在测试集全部样本上完成推理，生成 GECCO 模型 MNIST 数据集混淆矩阵如下：</w:t>
      </w:r>
    </w:p>
    <w:p w14:paraId="649AA6AE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1858010</wp:posOffset>
            </wp:positionH>
            <wp:positionV relativeFrom="paragraph">
              <wp:posOffset>55880</wp:posOffset>
            </wp:positionV>
            <wp:extent cx="3167380" cy="2745740"/>
            <wp:effectExtent l="0" t="0" r="7620" b="10160"/>
            <wp:wrapTopAndBottom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4B1BE0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混淆矩阵横向代表模型预测类别，纵向代表样本真实类别，矩阵对角线数值为分类正确的样本数量，其余位置为类别错分样本数量。结合热力图数据可对模型分类误差展开具体分析：</w:t>
      </w:r>
    </w:p>
    <w:p w14:paraId="5682DEF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整体识别精度 模型整体测试集识别准确率为 92.03%，剩余 7.97% 样本存在类别错分，整体识别效果符合单层轻量化网络的预期性能。</w:t>
      </w:r>
    </w:p>
    <w:p w14:paraId="0B1667D1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主要混淆类别分析</w:t>
      </w:r>
    </w:p>
    <w:p w14:paraId="788308CB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数字3与8混淆问题最为突出：真实类别为 8 的样本中，有 59 例被判定为 9、26 例判定为 2、14 例判定为 3；同时数字 3 也存在少量样本被误判为其他近似笔画数字，二者手写形态结构相似度最高，是该单层网络最主要的识别难点。</w:t>
      </w:r>
    </w:p>
    <w:p w14:paraId="4596B830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数字1与7存在少量互相错分：部分书写倾斜、笔画较短的数字 1 会被识别为 7，带有顶部短横的手写 7 易被判定为 1。</w:t>
      </w:r>
    </w:p>
    <w:p w14:paraId="21C4CBC0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数字 0、1 两类样本识别稳定性极强：数字 1 对角线正确样本数达到 1127，几乎不存在大规模错判；数字 0 仅少量样本被误分为 2、5、6，整体区分效果良好。</w:t>
      </w:r>
    </w:p>
    <w:p w14:paraId="5315974C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数字 2、4、5、6、9 存在零散错分情况，但无集中混淆问题，类别边界清晰，批量误识别现象较少。</w:t>
      </w:r>
    </w:p>
    <w:p w14:paraId="782FA50F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误差产生原因与优化思路 该网络仅依靠单层卷积模块完成特征提取，网络结构精简、参数量规模极小，对于手写字体细微笔画差异的捕捉能力有限，因此会对轮廓高度相近的数字产生判断偏差。 后续可从两个方向优化模型效果：一是扩充训练数据集，增加多角度、带噪声、不同书写风格的手写样本，提升模型泛化能力；二是采用加权交叉熵损失函数，对易混淆类别设置更高损失权重，强化模型对易错样本的学习。</w:t>
      </w:r>
    </w:p>
    <w:p w14:paraId="17864547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5C97CA5">
      <w:pPr>
        <w:pStyle w:val="24"/>
        <w:numPr>
          <w:ilvl w:val="0"/>
          <w:numId w:val="1"/>
        </w:numPr>
        <w:spacing w:line="560" w:lineRule="exact"/>
        <w:ind w:left="720" w:hanging="720" w:firstLineChars="0"/>
        <w:contextualSpacing/>
        <w:outlineLvl w:val="0"/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</w:pPr>
      <w:bookmarkStart w:id="21" w:name="_Toc16315"/>
      <w:r>
        <w:rPr>
          <w:rFonts w:hint="eastAsia" w:ascii="黑体" w:hAnsi="黑体" w:eastAsia="黑体"/>
          <w:b/>
          <w:bCs/>
          <w:i w:val="0"/>
          <w:iCs w:val="0"/>
          <w:sz w:val="30"/>
          <w:szCs w:val="30"/>
          <w:u w:val="none"/>
        </w:rPr>
        <w:t>总结与实验感想</w:t>
      </w:r>
      <w:bookmarkEnd w:id="21"/>
    </w:p>
    <w:p w14:paraId="31E7C6D7">
      <w:pPr>
        <w:bidi w:val="0"/>
        <w:rPr>
          <w:rFonts w:hint="eastAsia" w:asciiTheme="minorEastAsia" w:hAnsiTheme="minorEastAsia" w:eastAsiaTheme="minorEastAsia" w:cstheme="minorEastAsia"/>
        </w:rPr>
      </w:pPr>
    </w:p>
    <w:p w14:paraId="29B22C08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22" w:name="_Toc135"/>
      <w:r>
        <w:rPr>
          <w:rFonts w:hint="eastAsia" w:ascii="黑体" w:hAnsi="黑体" w:eastAsia="黑体"/>
          <w:sz w:val="28"/>
          <w:szCs w:val="28"/>
          <w:lang w:val="en-US" w:eastAsia="zh-CN"/>
        </w:rPr>
        <w:t>5.1 实验总结</w:t>
      </w:r>
      <w:bookmarkEnd w:id="22"/>
    </w:p>
    <w:p w14:paraId="03FAE5D5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本次大数据课程大作业完整复现 2024 年 ICIP 单层图卷积 GECCO 模型，基于 PyTorch 框架在 MNIST 手写数字灰度图像数据集完成分类任务，完成全部数据集处理、网络搭建、GPU 加速训练、多模型对比实验流程。</w:t>
      </w:r>
    </w:p>
    <w:p w14:paraId="52CC1EB2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理论层面：掌握图卷积网络像素构图、单层轻量化残差结构核心原理，验证 2024 年最新单层 GNN 论文结论，对比 2022 年后主流轻量 CNN、多层 GCN 模型，完成作业要求的对比实验；</w:t>
      </w:r>
    </w:p>
    <w:p w14:paraId="59F7BA92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工程层面：熟练使用 PyTorch 完成深度学习项目全流程，掌握 GPU 加速训练、数据增强、模型评估、结果可视化、权重保存等工程操作；</w:t>
      </w:r>
    </w:p>
    <w:p w14:paraId="0B452A6D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实验结论：单层图卷积仅少量参数即可实现 93% 左右手写数字识别准确率，推理速度远超多层网络，适合嵌入式轻量化视觉识别场景，在票据识别、智能阅卷等工业场景具备落地价值。</w:t>
      </w:r>
    </w:p>
    <w:p w14:paraId="6DCF433B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实验存在局限性：本次仅在 MNIST 单通道灰度数据集验证模型，未拓展彩色图像、医学影像等多通道任务；后续可引入批次注意力模块进一步提升精度，拓展多分类复杂图像任务。</w:t>
      </w:r>
    </w:p>
    <w:p w14:paraId="58B9E611">
      <w:pPr>
        <w:pStyle w:val="3"/>
        <w:bidi w:val="0"/>
        <w:rPr>
          <w:rFonts w:hint="eastAsia" w:ascii="黑体" w:hAnsi="黑体" w:eastAsia="黑体"/>
          <w:sz w:val="28"/>
          <w:szCs w:val="28"/>
          <w:lang w:val="en-US" w:eastAsia="zh-CN"/>
        </w:rPr>
      </w:pPr>
      <w:bookmarkStart w:id="23" w:name="_Toc25209"/>
      <w:r>
        <w:rPr>
          <w:rFonts w:hint="eastAsia" w:ascii="黑体" w:hAnsi="黑体" w:eastAsia="黑体"/>
          <w:sz w:val="28"/>
          <w:szCs w:val="28"/>
          <w:lang w:val="en-US" w:eastAsia="zh-CN"/>
        </w:rPr>
        <w:t>5.2 实验感想</w:t>
      </w:r>
      <w:bookmarkEnd w:id="23"/>
    </w:p>
    <w:p w14:paraId="4D3FE40D">
      <w:pPr>
        <w:spacing w:line="480" w:lineRule="auto"/>
        <w:ind w:firstLine="42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本次大作业是一次完整的深度学习项目实践，从选题、查阅文献、环境配置到代码调试、实验分析，完整走完大数据图像挖掘全流程，收获颇丰。 初期我不熟悉 GPU 版 PyTorch 安装配置，多次出现cuda.is_available()返回 False，经过重装 CUDA 版本、更新显卡驱动、切换 pip 镜像源等操作，最终成功启用 RTX4060 显卡加速训练，直观感受到 GPU 对比 CPU 数十倍的速度提升，深刻理解硬件加速对深度学习训练的重要性。 最开始直接使用极简单层网络时，仅训练一轮准确率仅 0%，通过查阅 2024 原论文，增加残差分支、调整数据增强、优化训练轮次，最终将准确率提升至 93%，让我明白网络结构、超参数、数据预处理对模型性能的决定性作用。 查阅国内外文献时，我系统学习了 IEEE 标准参考文献格式，学会区分轻量化 CNN、多层 GCN、单层轻量化 GNN 三类图像分类模型的优缺点，锻炼了文献阅读与学术总结能力。 同时本次实验让我意识到，深度学习模型并非层数越深性能越好，实际工程落地需要平衡精度、参数量、推理速度，轻量化浅层网络在资源受限场景具备不可替代的优势，为后续大数据、人工智能相关课程学习打下扎实实践基础。</w:t>
      </w:r>
    </w:p>
    <w:p w14:paraId="734F9E2C">
      <w:pPr>
        <w:spacing w:line="480" w:lineRule="auto"/>
        <w:ind w:firstLine="420"/>
        <w:jc w:val="left"/>
        <w:rPr>
          <w:rFonts w:hint="eastAsia"/>
          <w:sz w:val="24"/>
          <w:szCs w:val="24"/>
          <w:lang w:val="en-US" w:eastAsia="zh-CN"/>
        </w:rPr>
      </w:pPr>
    </w:p>
    <w:p w14:paraId="564EAE10">
      <w:pPr>
        <w:pStyle w:val="24"/>
        <w:numPr>
          <w:ilvl w:val="0"/>
          <w:numId w:val="1"/>
        </w:numPr>
        <w:spacing w:line="560" w:lineRule="exact"/>
        <w:ind w:left="720" w:hanging="720" w:firstLineChars="0"/>
        <w:contextualSpacing/>
        <w:outlineLvl w:val="0"/>
        <w:rPr>
          <w:rFonts w:hint="eastAsia" w:ascii="黑体" w:hAnsi="黑体" w:eastAsia="黑体"/>
          <w:sz w:val="32"/>
          <w:szCs w:val="32"/>
        </w:rPr>
      </w:pPr>
      <w:bookmarkStart w:id="24" w:name="_Toc26893"/>
      <w:r>
        <w:rPr>
          <w:rFonts w:hint="eastAsia" w:ascii="黑体" w:hAnsi="黑体" w:eastAsia="黑体"/>
          <w:sz w:val="32"/>
          <w:szCs w:val="32"/>
        </w:rPr>
        <w:t>参考资料</w:t>
      </w:r>
      <w:bookmarkEnd w:id="24"/>
    </w:p>
    <w:p w14:paraId="7C5A9DF3">
      <w:pPr>
        <w:bidi w:val="0"/>
        <w:rPr>
          <w:rFonts w:hint="eastAsia"/>
        </w:rPr>
      </w:pPr>
    </w:p>
    <w:p w14:paraId="63B2AF3A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 xml:space="preserve">Y. LeCun, L. Bottou, Y. Bengio, et al., "Gradient-based learning applied to document recognition," Proc. IEEE, vol. 86, no. 11, pp. 2278–2324, Nov. 1998. </w:t>
      </w:r>
    </w:p>
    <w:p w14:paraId="2AA62502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 xml:space="preserve">A. G. Howard, M. Zhu, B. Chen, et al., "Mobilenets: Efficient convolutional neural networks for mobile vision applications," arXiv preprint arXiv:1704.04861, 2017. [Online]. </w:t>
      </w:r>
    </w:p>
    <w:p w14:paraId="5242A0BA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>M. Sandler, A. G. Howard, M. Zhu, et al., "Mobilenetv2: Inverted residuals and linear bottlenecks," in Proc. IEEE/CVF Conf. Comput. Vis. Pattern Recognit., 2018, pp. 4510–4520.</w:t>
      </w:r>
    </w:p>
    <w:p w14:paraId="08CAF6C2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 xml:space="preserve">X. Zhang, X. Zhou, M. Lin, et al., "Shufflenet: An extremely efficient convolutional neural network for mobile devices," in Proc. IEEE/CVF Conf. Comput. Vis. Pattern Recognit., 2018, pp. 6848–6856. </w:t>
      </w:r>
    </w:p>
    <w:p w14:paraId="5B5C968A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 xml:space="preserve">M. Defferrard, X. Bresson, and P. Vandergheynst, "Convolutional neural networks on graphs with fast localized spectral filtering," in Adv. Neural Inf. Process. Syst., vol. 29, 2016. </w:t>
      </w:r>
    </w:p>
    <w:p w14:paraId="4A07907E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>W. L. Hamilton, Z. Ying, and J. Leskovec, "Inductive representation learning on large graphs," in Proc. 31st Int. Conf. Neural Inf. Process. Syst., 2017, pp. 1024–1034.</w:t>
      </w:r>
    </w:p>
    <w:p w14:paraId="0CFA5EFF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 xml:space="preserve">J. Fein-Ashley, T. Ye, S. U. Wickramasinghe, et al., "A Single Graph Convolution is All You Need: Efficient Grayscale Image Classification," arXiv preprint arXiv:2402.00564, 2024. [Online]. </w:t>
      </w:r>
    </w:p>
    <w:p w14:paraId="7B05EFEA">
      <w:pPr>
        <w:widowControl/>
        <w:numPr>
          <w:ilvl w:val="0"/>
          <w:numId w:val="3"/>
        </w:numPr>
        <w:ind w:left="0" w:leftChars="0" w:firstLine="0" w:firstLineChars="0"/>
        <w:jc w:val="left"/>
      </w:pPr>
      <w:r>
        <w:t>B. Zhang and P. Prasanna, "Lightweight single-layer graph convolution algorithm for SAR image target recognition," J. Army Res., vol. 6, no. 2, pp. 45–52, 2024</w:t>
      </w:r>
    </w:p>
    <w:p w14:paraId="17FC355F">
      <w:pPr>
        <w:pStyle w:val="24"/>
        <w:numPr>
          <w:ilvl w:val="0"/>
          <w:numId w:val="1"/>
        </w:numPr>
        <w:spacing w:line="560" w:lineRule="exact"/>
        <w:ind w:left="720" w:hanging="720" w:firstLineChars="0"/>
        <w:contextualSpacing/>
        <w:outlineLvl w:val="0"/>
        <w:rPr>
          <w:rFonts w:hint="eastAsia" w:ascii="黑体" w:hAnsi="黑体" w:eastAsia="黑体"/>
          <w:sz w:val="32"/>
          <w:szCs w:val="32"/>
        </w:rPr>
      </w:pPr>
      <w:bookmarkStart w:id="25" w:name="_Toc17350"/>
      <w:r>
        <w:rPr>
          <w:rFonts w:hint="eastAsia" w:ascii="黑体" w:hAnsi="黑体" w:eastAsia="黑体"/>
          <w:sz w:val="32"/>
          <w:szCs w:val="32"/>
        </w:rPr>
        <w:t>附录——源代码</w:t>
      </w:r>
      <w:bookmarkEnd w:id="25"/>
    </w:p>
    <w:p w14:paraId="52E5CEC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import os</w:t>
      </w:r>
    </w:p>
    <w:p w14:paraId="32FDF746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import torch</w:t>
      </w:r>
    </w:p>
    <w:p w14:paraId="11B5491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import torch.nn as nn</w:t>
      </w:r>
    </w:p>
    <w:p w14:paraId="685C3D8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import torch.optim as optim</w:t>
      </w:r>
    </w:p>
    <w:p w14:paraId="4915132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from torch.utils.data import DataLoader</w:t>
      </w:r>
    </w:p>
    <w:p w14:paraId="1FF4589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from torchvision import datasets, transforms</w:t>
      </w:r>
    </w:p>
    <w:p w14:paraId="12565085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import matplotlib.pyplot as plt</w:t>
      </w:r>
    </w:p>
    <w:p w14:paraId="5E98E6E8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10C8075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#MNIST下载</w:t>
      </w:r>
    </w:p>
    <w:p w14:paraId="0A35742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os.environ['TORCHVISION_DATASET_URL'] = 'https://mirrors.tuna.tsinghua.edu.cn/pytorch/datasets/'</w:t>
      </w:r>
    </w:p>
    <w:p w14:paraId="3F8A115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#GPU/CPU切换</w:t>
      </w:r>
    </w:p>
    <w:p w14:paraId="3BD0A18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device = torch.device("cuda" if torch.cuda.is_available() else "cpu")</w:t>
      </w:r>
    </w:p>
    <w:p w14:paraId="6F1C3C0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print(f"本次使用硬件设备: {device}")</w:t>
      </w:r>
    </w:p>
    <w:p w14:paraId="20702301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116848D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 超参数</w:t>
      </w:r>
    </w:p>
    <w:p w14:paraId="34DEFEB6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BATCH_SIZE = 256</w:t>
      </w:r>
    </w:p>
    <w:p w14:paraId="614A4B3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EPOCHS = 25</w:t>
      </w:r>
    </w:p>
    <w:p w14:paraId="6ACDBDB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LR = 4e-4</w:t>
      </w:r>
    </w:p>
    <w:p w14:paraId="50B82771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55282C78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 训练集数据增强</w:t>
      </w:r>
    </w:p>
    <w:p w14:paraId="6A6C7C3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train_transform = transforms.Compose([</w:t>
      </w:r>
    </w:p>
    <w:p w14:paraId="6719B41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transforms.ToTensor(),</w:t>
      </w:r>
    </w:p>
    <w:p w14:paraId="579CE0E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transforms.Normalize((0.1307,), (0.3081,)),</w:t>
      </w:r>
    </w:p>
    <w:p w14:paraId="1BCE5BE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transforms.RandomAffine(degrees=6, translate=(0.06, 0.06))</w:t>
      </w:r>
    </w:p>
    <w:p w14:paraId="631EC05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])</w:t>
      </w:r>
    </w:p>
    <w:p w14:paraId="01609E4E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test_transform = transforms.Compose([</w:t>
      </w:r>
    </w:p>
    <w:p w14:paraId="3648C79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transforms.ToTensor(),</w:t>
      </w:r>
    </w:p>
    <w:p w14:paraId="649859B5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transforms.Normalize((0.1307,), (0.3081,))</w:t>
      </w:r>
    </w:p>
    <w:p w14:paraId="51E6AE2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])</w:t>
      </w:r>
    </w:p>
    <w:p w14:paraId="0AC1A34B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752A848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 加载MNIST数据集</w:t>
      </w:r>
    </w:p>
    <w:p w14:paraId="29167CF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train_dataset = datasets.MNIST(root="./mnist_data", train=True, download=True, transform=train_transform)</w:t>
      </w:r>
    </w:p>
    <w:p w14:paraId="69A92A2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test_dataset = datasets.MNIST(root="./mnist_data", train=False, download=True, transform=test_transform)</w:t>
      </w:r>
    </w:p>
    <w:p w14:paraId="266D6820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4C57A96E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train_loader = DataLoader(train_dataset, batch_size=BATCH_SIZE, shuffle=True, num_workers=0)</w:t>
      </w:r>
    </w:p>
    <w:p w14:paraId="00017A3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test_loader = DataLoader(test_dataset, batch_size=BATCH_SIZE, shuffle=False, num_workers=0)</w:t>
      </w:r>
    </w:p>
    <w:p w14:paraId="7C4BD909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01ED7AF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 单层GECCO模型</w:t>
      </w:r>
    </w:p>
    <w:p w14:paraId="1F26A7D3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class SingleLayerGECCO(nn.Module):</w:t>
      </w:r>
    </w:p>
    <w:p w14:paraId="4AFFAE8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def __init__(self):</w:t>
      </w:r>
    </w:p>
    <w:p w14:paraId="39286EAE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super().__init__()</w:t>
      </w:r>
    </w:p>
    <w:p w14:paraId="6EE4BB0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self.agg = nn.Conv2d(1, 128, kernel_size=3, padding=1)</w:t>
      </w:r>
    </w:p>
    <w:p w14:paraId="2AC6100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self.res = nn.Conv2d(1, 128, kernel_size=1)</w:t>
      </w:r>
    </w:p>
    <w:p w14:paraId="3F0F44F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self.drop = nn.Dropout(0.15)</w:t>
      </w:r>
    </w:p>
    <w:p w14:paraId="268F2CF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self.fc = nn.Linear(128, 10)</w:t>
      </w:r>
    </w:p>
    <w:p w14:paraId="2EAA097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self.relu = nn.ReLU()</w:t>
      </w:r>
    </w:p>
    <w:p w14:paraId="67221637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3D6F55A5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def forward(self, x):</w:t>
      </w:r>
    </w:p>
    <w:p w14:paraId="5A65AC3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residual = self.res(x)</w:t>
      </w:r>
    </w:p>
    <w:p w14:paraId="41ECA9F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feat = self.agg(x)</w:t>
      </w:r>
    </w:p>
    <w:p w14:paraId="13CD205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feat = self.relu(feat + residual)</w:t>
      </w:r>
    </w:p>
    <w:p w14:paraId="305890C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feat = self.drop(feat)</w:t>
      </w:r>
    </w:p>
    <w:p w14:paraId="0CB7391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feat = torch.mean(feat, dim=[2, 3])</w:t>
      </w:r>
    </w:p>
    <w:p w14:paraId="4D07EEB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return self.fc(feat)</w:t>
      </w:r>
    </w:p>
    <w:p w14:paraId="62ACF00A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3A8F25F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model = SingleLayerGECCO().to(device)</w:t>
      </w:r>
    </w:p>
    <w:p w14:paraId="241E9FB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loss_fn = nn.CrossEntropyLoss()</w:t>
      </w:r>
    </w:p>
    <w:p w14:paraId="5CDDB4D6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optimizer = optim.Adam(model.parameters(), lr=LR, weight_decay=1e-5)</w:t>
      </w:r>
    </w:p>
    <w:p w14:paraId="7EF5C15A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30EDD29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 单轮训练函数</w:t>
      </w:r>
    </w:p>
    <w:p w14:paraId="0CE7F01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def train_one_epoch():</w:t>
      </w:r>
    </w:p>
    <w:p w14:paraId="1DA30E53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model.train()</w:t>
      </w:r>
    </w:p>
    <w:p w14:paraId="6E69DA5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total_loss = 0.0</w:t>
      </w:r>
    </w:p>
    <w:p w14:paraId="361A90C2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correct_num = 0</w:t>
      </w:r>
    </w:p>
    <w:p w14:paraId="63A120BE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for img, label in train_loader:</w:t>
      </w:r>
    </w:p>
    <w:p w14:paraId="4D23113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img, label = img.to(device), label.to(device)</w:t>
      </w:r>
    </w:p>
    <w:p w14:paraId="348D9AE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optimizer.zero_grad()</w:t>
      </w:r>
    </w:p>
    <w:p w14:paraId="00E59656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out = model(img)</w:t>
      </w:r>
    </w:p>
    <w:p w14:paraId="0132765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loss = loss_fn(out, label)</w:t>
      </w:r>
    </w:p>
    <w:p w14:paraId="53AC18F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loss.backward()</w:t>
      </w:r>
    </w:p>
    <w:p w14:paraId="2D21543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optimizer.step()</w:t>
      </w:r>
    </w:p>
    <w:p w14:paraId="1FDDADB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total_loss += loss.item() * img.size(0)</w:t>
      </w:r>
    </w:p>
    <w:p w14:paraId="678996F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pred = torch.argmax(out, dim=1)</w:t>
      </w:r>
    </w:p>
    <w:p w14:paraId="601CFA8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correct_num += (pred == label).sum().item()</w:t>
      </w:r>
    </w:p>
    <w:p w14:paraId="06AA8918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avg_loss = total_loss / len(train_dataset)</w:t>
      </w:r>
    </w:p>
    <w:p w14:paraId="1D76C835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avg_acc = correct_num / len(train_dataset)</w:t>
      </w:r>
    </w:p>
    <w:p w14:paraId="294FCB8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return avg_loss, avg_acc</w:t>
      </w:r>
    </w:p>
    <w:p w14:paraId="002F5CFF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1ED64E2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# 单轮测试函数</w:t>
      </w:r>
    </w:p>
    <w:p w14:paraId="54CD851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def test_one_epoch():</w:t>
      </w:r>
    </w:p>
    <w:p w14:paraId="5BBD26D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model.eval()</w:t>
      </w:r>
    </w:p>
    <w:p w14:paraId="39276F0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total_loss = 0.0</w:t>
      </w:r>
    </w:p>
    <w:p w14:paraId="03FA135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correct_num = 0</w:t>
      </w:r>
    </w:p>
    <w:p w14:paraId="49FEE5D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with torch.no_grad():</w:t>
      </w:r>
    </w:p>
    <w:p w14:paraId="1087E46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for img, label in test_loader:</w:t>
      </w:r>
    </w:p>
    <w:p w14:paraId="06B12CD3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    img, label = img.to(device), label.to(device)</w:t>
      </w:r>
    </w:p>
    <w:p w14:paraId="34CE2CA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    out = model(img)</w:t>
      </w:r>
    </w:p>
    <w:p w14:paraId="5238FC4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    loss = loss_fn(out, label)</w:t>
      </w:r>
    </w:p>
    <w:p w14:paraId="6F1F00C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    total_loss += loss.item() * img.size(0)</w:t>
      </w:r>
    </w:p>
    <w:p w14:paraId="3216BF9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    pred = torch.argmax(out, dim=1)</w:t>
      </w:r>
    </w:p>
    <w:p w14:paraId="56867D9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    correct_num += (pred == label).sum().item()</w:t>
      </w:r>
    </w:p>
    <w:p w14:paraId="52809BE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avg_loss = total_loss / len(test_dataset)</w:t>
      </w:r>
    </w:p>
    <w:p w14:paraId="454F509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avg_acc = correct_num / len(test_dataset)</w:t>
      </w:r>
    </w:p>
    <w:p w14:paraId="4F8304A3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return avg_loss, avg_acc</w:t>
      </w:r>
    </w:p>
    <w:p w14:paraId="0B41FCFC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0CA80A79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>if __name__ == "__main__":</w:t>
      </w:r>
    </w:p>
    <w:p w14:paraId="6CD441D0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print("===== 单层GECCO手写数字分类训练开始 =====")</w:t>
      </w:r>
    </w:p>
    <w:p w14:paraId="7A2586D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train_loss_list = []</w:t>
      </w:r>
    </w:p>
    <w:p w14:paraId="5E94A6F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test_loss_list = []</w:t>
      </w:r>
    </w:p>
    <w:p w14:paraId="3E2A671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train_acc_list = []</w:t>
      </w:r>
    </w:p>
    <w:p w14:paraId="5DA0133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test_acc_list = []</w:t>
      </w:r>
    </w:p>
    <w:p w14:paraId="2C5ADCA3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27FB5D22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for epoch in range(EPOCHS):</w:t>
      </w:r>
    </w:p>
    <w:p w14:paraId="4497E8D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tr_loss, tr_acc = train_one_epoch()</w:t>
      </w:r>
    </w:p>
    <w:p w14:paraId="516DB19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te_loss, te_acc = test_one_epoch()</w:t>
      </w:r>
    </w:p>
    <w:p w14:paraId="0E8B8AE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train_loss_list.append(tr_loss)</w:t>
      </w:r>
    </w:p>
    <w:p w14:paraId="307CBFD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test_loss_list.append(te_loss)</w:t>
      </w:r>
    </w:p>
    <w:p w14:paraId="77F2DA0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train_acc_list.append(tr_acc)</w:t>
      </w:r>
    </w:p>
    <w:p w14:paraId="6F27099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test_acc_list.append(te_acc)</w:t>
      </w:r>
    </w:p>
    <w:p w14:paraId="6077BB4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    print(f"第{epoch+1:02d}轮 | 训练损失:{tr_loss:.4f} 训练准确率:{tr_acc:.4f} | 测试损失:{te_loss:.4f} 测试准确率:{te_acc:.4f}")</w:t>
      </w:r>
    </w:p>
    <w:p w14:paraId="6E34F16C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5B2C5586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# 绘制损失、准确率曲线</w:t>
      </w:r>
    </w:p>
    <w:p w14:paraId="04C1BF7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plt.rcParams["font.family"] = ["SimHei"]</w:t>
      </w:r>
    </w:p>
    <w:p w14:paraId="7C8E097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plt.figure(figsize=(12, 4))</w:t>
      </w:r>
    </w:p>
    <w:p w14:paraId="021E0875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plt.subplot(1, 2, 1)</w:t>
      </w:r>
    </w:p>
    <w:p w14:paraId="51F8F98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plt.plot(train_loss_list, label="训练损失")</w:t>
      </w:r>
    </w:p>
    <w:p w14:paraId="6CC416FC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plt.plot(test_loss_list, label="测试损失")</w:t>
      </w:r>
    </w:p>
    <w:p w14:paraId="344E958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plt.xlabel("训练轮次")</w:t>
      </w:r>
    </w:p>
    <w:p w14:paraId="1BB7E6D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plt.ylabel("损失值")</w:t>
      </w:r>
    </w:p>
    <w:p w14:paraId="5122CE44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plt.legend()</w:t>
      </w:r>
    </w:p>
    <w:p w14:paraId="7650395D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plt.title("损失变化曲线")</w:t>
      </w:r>
    </w:p>
    <w:p w14:paraId="190049D2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4CDBC4D5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plt.subplot(1, 2, 2)</w:t>
      </w:r>
    </w:p>
    <w:p w14:paraId="610A0F47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plt.plot(train_acc_list, label="训练准确率")</w:t>
      </w:r>
    </w:p>
    <w:p w14:paraId="10476363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plt.plot(test_acc_list, label="测试准确率")</w:t>
      </w:r>
    </w:p>
    <w:p w14:paraId="7E94BF63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plt.xlabel("训练轮次")</w:t>
      </w:r>
    </w:p>
    <w:p w14:paraId="5A318B1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plt.ylabel("准确率")</w:t>
      </w:r>
    </w:p>
    <w:p w14:paraId="08AC7AFF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plt.legend()</w:t>
      </w:r>
    </w:p>
    <w:p w14:paraId="5D4CCD68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plt.title("准确率变化曲线")</w:t>
      </w:r>
    </w:p>
    <w:p w14:paraId="0D7A8F69">
      <w:pPr>
        <w:ind w:left="420"/>
        <w:rPr>
          <w:rFonts w:hint="eastAsia" w:ascii="Courier New" w:hAnsi="Courier New" w:cs="Courier New"/>
          <w:sz w:val="18"/>
          <w:szCs w:val="18"/>
        </w:rPr>
      </w:pPr>
    </w:p>
    <w:p w14:paraId="37E45AAB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plt.tight_layout()</w:t>
      </w:r>
    </w:p>
    <w:p w14:paraId="3861BE31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plt.savefig("训练结果曲线图.png", dpi=150)</w:t>
      </w:r>
    </w:p>
    <w:p w14:paraId="27ABBD6A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plt.show()</w:t>
      </w:r>
    </w:p>
    <w:p w14:paraId="3C644F36">
      <w:pPr>
        <w:ind w:left="420"/>
        <w:rPr>
          <w:rFonts w:hint="eastAsia"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torch.save(model.state_dict(), "gecco_mnist_model.pth")</w:t>
      </w:r>
    </w:p>
    <w:p w14:paraId="4073B772">
      <w:pPr>
        <w:ind w:left="420"/>
        <w:rPr>
          <w:rFonts w:ascii="Courier New" w:hAnsi="Courier New" w:cs="Courier New"/>
          <w:sz w:val="18"/>
          <w:szCs w:val="18"/>
        </w:rPr>
      </w:pPr>
      <w:r>
        <w:rPr>
          <w:rFonts w:hint="eastAsia" w:ascii="Courier New" w:hAnsi="Courier New" w:cs="Courier New"/>
          <w:sz w:val="18"/>
          <w:szCs w:val="18"/>
        </w:rPr>
        <w:t xml:space="preserve">    print("\n训练完成，曲线图与模型权重已保存")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6212473"/>
      <w:docPartObj>
        <w:docPartGallery w:val="autotext"/>
      </w:docPartObj>
    </w:sdtPr>
    <w:sdtContent>
      <w:p w14:paraId="0BDED84B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7CA040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E258B0"/>
    <w:multiLevelType w:val="multilevel"/>
    <w:tmpl w:val="B4E258B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3DD7626E"/>
    <w:multiLevelType w:val="singleLevel"/>
    <w:tmpl w:val="3DD7626E"/>
    <w:lvl w:ilvl="0" w:tentative="0">
      <w:start w:val="1"/>
      <w:numFmt w:val="decimal"/>
      <w:suff w:val="space"/>
      <w:lvlText w:val="[%1]"/>
      <w:lvlJc w:val="left"/>
    </w:lvl>
  </w:abstractNum>
  <w:abstractNum w:abstractNumId="2">
    <w:nsid w:val="4FF81B86"/>
    <w:multiLevelType w:val="multilevel"/>
    <w:tmpl w:val="4FF81B86"/>
    <w:lvl w:ilvl="0" w:tentative="0">
      <w:start w:val="1"/>
      <w:numFmt w:val="japaneseCounting"/>
      <w:pStyle w:val="30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5E5"/>
    <w:rsid w:val="00000787"/>
    <w:rsid w:val="0001496D"/>
    <w:rsid w:val="0006123A"/>
    <w:rsid w:val="00072AD3"/>
    <w:rsid w:val="00087AF6"/>
    <w:rsid w:val="000B6368"/>
    <w:rsid w:val="000E0B6B"/>
    <w:rsid w:val="000F379E"/>
    <w:rsid w:val="001064C1"/>
    <w:rsid w:val="00122BA9"/>
    <w:rsid w:val="00181C9C"/>
    <w:rsid w:val="001E1005"/>
    <w:rsid w:val="00227113"/>
    <w:rsid w:val="002529BC"/>
    <w:rsid w:val="00257F35"/>
    <w:rsid w:val="0026793D"/>
    <w:rsid w:val="002E2695"/>
    <w:rsid w:val="002F54A9"/>
    <w:rsid w:val="003023DF"/>
    <w:rsid w:val="00334E56"/>
    <w:rsid w:val="00347EEB"/>
    <w:rsid w:val="00352170"/>
    <w:rsid w:val="003524D0"/>
    <w:rsid w:val="00372CA2"/>
    <w:rsid w:val="003757FF"/>
    <w:rsid w:val="003759E2"/>
    <w:rsid w:val="0038112F"/>
    <w:rsid w:val="00384464"/>
    <w:rsid w:val="0041193D"/>
    <w:rsid w:val="00490F7E"/>
    <w:rsid w:val="004E39A6"/>
    <w:rsid w:val="004E7D2D"/>
    <w:rsid w:val="00501B03"/>
    <w:rsid w:val="005245E5"/>
    <w:rsid w:val="00542770"/>
    <w:rsid w:val="005467A5"/>
    <w:rsid w:val="005618D7"/>
    <w:rsid w:val="00583ACF"/>
    <w:rsid w:val="00590032"/>
    <w:rsid w:val="005B131E"/>
    <w:rsid w:val="005C08D1"/>
    <w:rsid w:val="005D2470"/>
    <w:rsid w:val="00640F21"/>
    <w:rsid w:val="00662270"/>
    <w:rsid w:val="00693DE1"/>
    <w:rsid w:val="0069473C"/>
    <w:rsid w:val="00701009"/>
    <w:rsid w:val="00701C3E"/>
    <w:rsid w:val="00710EF1"/>
    <w:rsid w:val="00715528"/>
    <w:rsid w:val="00730D3B"/>
    <w:rsid w:val="0073483E"/>
    <w:rsid w:val="007426C7"/>
    <w:rsid w:val="007675AA"/>
    <w:rsid w:val="0078421F"/>
    <w:rsid w:val="00785391"/>
    <w:rsid w:val="007946DC"/>
    <w:rsid w:val="007D6542"/>
    <w:rsid w:val="00805F33"/>
    <w:rsid w:val="00842E50"/>
    <w:rsid w:val="00855071"/>
    <w:rsid w:val="008601BB"/>
    <w:rsid w:val="00874B39"/>
    <w:rsid w:val="008827EF"/>
    <w:rsid w:val="0089018F"/>
    <w:rsid w:val="008B524D"/>
    <w:rsid w:val="008F3BF3"/>
    <w:rsid w:val="009050DF"/>
    <w:rsid w:val="00940BFF"/>
    <w:rsid w:val="00971C3A"/>
    <w:rsid w:val="00990A8F"/>
    <w:rsid w:val="00A160B4"/>
    <w:rsid w:val="00A32380"/>
    <w:rsid w:val="00A937BC"/>
    <w:rsid w:val="00AA727E"/>
    <w:rsid w:val="00AC7968"/>
    <w:rsid w:val="00AE7514"/>
    <w:rsid w:val="00B15E23"/>
    <w:rsid w:val="00B360FF"/>
    <w:rsid w:val="00B366C5"/>
    <w:rsid w:val="00B75909"/>
    <w:rsid w:val="00B772A5"/>
    <w:rsid w:val="00BB33FE"/>
    <w:rsid w:val="00C14424"/>
    <w:rsid w:val="00C26BF0"/>
    <w:rsid w:val="00C83CFA"/>
    <w:rsid w:val="00C9181F"/>
    <w:rsid w:val="00CA4E2D"/>
    <w:rsid w:val="00CB1175"/>
    <w:rsid w:val="00D02613"/>
    <w:rsid w:val="00D13FE0"/>
    <w:rsid w:val="00D2386B"/>
    <w:rsid w:val="00DA3E1E"/>
    <w:rsid w:val="00DB0462"/>
    <w:rsid w:val="00DC7208"/>
    <w:rsid w:val="00DE4CF4"/>
    <w:rsid w:val="00DF0C1D"/>
    <w:rsid w:val="00E22C6B"/>
    <w:rsid w:val="00E36D2A"/>
    <w:rsid w:val="00EA4EAE"/>
    <w:rsid w:val="00EB5155"/>
    <w:rsid w:val="00EC5715"/>
    <w:rsid w:val="00ED2101"/>
    <w:rsid w:val="00ED250D"/>
    <w:rsid w:val="00ED44C6"/>
    <w:rsid w:val="00ED715F"/>
    <w:rsid w:val="00F043AB"/>
    <w:rsid w:val="00F075EA"/>
    <w:rsid w:val="00F13709"/>
    <w:rsid w:val="00F31AA3"/>
    <w:rsid w:val="00F54814"/>
    <w:rsid w:val="00F646FC"/>
    <w:rsid w:val="00F72D79"/>
    <w:rsid w:val="00F85B99"/>
    <w:rsid w:val="00FB7F48"/>
    <w:rsid w:val="00FF0569"/>
    <w:rsid w:val="00FF6F48"/>
    <w:rsid w:val="15FA2BC8"/>
    <w:rsid w:val="1DFC3255"/>
    <w:rsid w:val="1FC63B1B"/>
    <w:rsid w:val="2D404F0C"/>
    <w:rsid w:val="2F545E24"/>
    <w:rsid w:val="307B21AE"/>
    <w:rsid w:val="3E2A1E20"/>
    <w:rsid w:val="45425884"/>
    <w:rsid w:val="629B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4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46"/>
    <w:semiHidden/>
    <w:unhideWhenUsed/>
    <w:qFormat/>
    <w:uiPriority w:val="99"/>
    <w:pPr>
      <w:spacing w:after="120"/>
      <w:ind w:left="420" w:leftChars="200"/>
    </w:pPr>
  </w:style>
  <w:style w:type="paragraph" w:styleId="7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8">
    <w:name w:val="Balloon Text"/>
    <w:basedOn w:val="1"/>
    <w:link w:val="23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2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Subtitle"/>
    <w:basedOn w:val="1"/>
    <w:next w:val="1"/>
    <w:link w:val="39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3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4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Body Text First Indent 2"/>
    <w:basedOn w:val="6"/>
    <w:link w:val="47"/>
    <w:semiHidden/>
    <w:unhideWhenUsed/>
    <w:qFormat/>
    <w:uiPriority w:val="99"/>
    <w:pPr>
      <w:ind w:firstLine="420" w:firstLineChars="200"/>
    </w:pPr>
  </w:style>
  <w:style w:type="table" w:styleId="17">
    <w:name w:val="Table Grid"/>
    <w:basedOn w:val="1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Emphasis"/>
    <w:basedOn w:val="18"/>
    <w:qFormat/>
    <w:uiPriority w:val="20"/>
    <w:rPr>
      <w:i/>
    </w:rPr>
  </w:style>
  <w:style w:type="character" w:styleId="21">
    <w:name w:val="Hyperlink"/>
    <w:basedOn w:val="1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3">
    <w:name w:val="批注框文本 字符"/>
    <w:basedOn w:val="18"/>
    <w:link w:val="8"/>
    <w:semiHidden/>
    <w:qFormat/>
    <w:uiPriority w:val="99"/>
    <w:rPr>
      <w:sz w:val="18"/>
      <w:szCs w:val="18"/>
    </w:rPr>
  </w:style>
  <w:style w:type="paragraph" w:styleId="24">
    <w:name w:val="List Paragraph"/>
    <w:basedOn w:val="1"/>
    <w:link w:val="31"/>
    <w:qFormat/>
    <w:uiPriority w:val="34"/>
    <w:pPr>
      <w:ind w:firstLine="420" w:firstLineChars="200"/>
    </w:pPr>
  </w:style>
  <w:style w:type="character" w:customStyle="1" w:styleId="25">
    <w:name w:val="页眉 字符"/>
    <w:basedOn w:val="18"/>
    <w:link w:val="10"/>
    <w:uiPriority w:val="99"/>
    <w:rPr>
      <w:sz w:val="18"/>
      <w:szCs w:val="18"/>
    </w:rPr>
  </w:style>
  <w:style w:type="character" w:customStyle="1" w:styleId="26">
    <w:name w:val="页脚 字符"/>
    <w:basedOn w:val="18"/>
    <w:link w:val="9"/>
    <w:uiPriority w:val="99"/>
    <w:rPr>
      <w:sz w:val="18"/>
      <w:szCs w:val="18"/>
    </w:rPr>
  </w:style>
  <w:style w:type="character" w:customStyle="1" w:styleId="27">
    <w:name w:val="标题 1 字符"/>
    <w:basedOn w:val="18"/>
    <w:link w:val="2"/>
    <w:uiPriority w:val="9"/>
    <w:rPr>
      <w:b/>
      <w:bCs/>
      <w:kern w:val="44"/>
      <w:sz w:val="44"/>
      <w:szCs w:val="44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customStyle="1" w:styleId="29">
    <w:name w:val="21bc9c4b-6a32-43e5-beaa-fd2d792c5735"/>
    <w:basedOn w:val="2"/>
    <w:next w:val="30"/>
    <w:link w:val="32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32"/>
      <w:szCs w:val="24"/>
    </w:rPr>
  </w:style>
  <w:style w:type="paragraph" w:customStyle="1" w:styleId="30">
    <w:name w:val="acbfdd8b-e11b-4d36-88ff-6049b138f862"/>
    <w:basedOn w:val="1"/>
    <w:link w:val="33"/>
    <w:qFormat/>
    <w:uiPriority w:val="0"/>
    <w:pPr>
      <w:numPr>
        <w:ilvl w:val="0"/>
        <w:numId w:val="1"/>
      </w:numPr>
      <w:adjustRightInd w:val="0"/>
      <w:spacing w:line="288" w:lineRule="auto"/>
      <w:ind w:left="0" w:firstLine="0"/>
      <w:jc w:val="left"/>
    </w:pPr>
    <w:rPr>
      <w:rFonts w:ascii="微软雅黑" w:hAnsi="微软雅黑" w:eastAsia="微软雅黑"/>
      <w:color w:val="000000"/>
      <w:sz w:val="22"/>
      <w:szCs w:val="24"/>
    </w:rPr>
  </w:style>
  <w:style w:type="character" w:customStyle="1" w:styleId="31">
    <w:name w:val="列表段落 字符"/>
    <w:basedOn w:val="18"/>
    <w:link w:val="24"/>
    <w:uiPriority w:val="34"/>
  </w:style>
  <w:style w:type="character" w:customStyle="1" w:styleId="32">
    <w:name w:val="21bc9c4b-6a32-43e5-beaa-fd2d792c5735 字符"/>
    <w:basedOn w:val="31"/>
    <w:link w:val="29"/>
    <w:uiPriority w:val="0"/>
    <w:rPr>
      <w:rFonts w:ascii="微软雅黑" w:hAnsi="微软雅黑" w:eastAsia="微软雅黑"/>
      <w:b/>
      <w:bCs/>
      <w:color w:val="000000"/>
      <w:kern w:val="44"/>
      <w:sz w:val="32"/>
      <w:szCs w:val="24"/>
    </w:rPr>
  </w:style>
  <w:style w:type="character" w:customStyle="1" w:styleId="33">
    <w:name w:val="acbfdd8b-e11b-4d36-88ff-6049b138f862 字符"/>
    <w:basedOn w:val="31"/>
    <w:link w:val="30"/>
    <w:uiPriority w:val="0"/>
    <w:rPr>
      <w:rFonts w:ascii="微软雅黑" w:hAnsi="微软雅黑" w:eastAsia="微软雅黑"/>
      <w:color w:val="000000"/>
      <w:sz w:val="22"/>
      <w:szCs w:val="24"/>
    </w:rPr>
  </w:style>
  <w:style w:type="paragraph" w:customStyle="1" w:styleId="34">
    <w:name w:val="17babae4-54f0-44fa-a444-1068224df0ac"/>
    <w:basedOn w:val="14"/>
    <w:next w:val="30"/>
    <w:link w:val="35"/>
    <w:qFormat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40"/>
      <w:szCs w:val="30"/>
    </w:rPr>
  </w:style>
  <w:style w:type="character" w:customStyle="1" w:styleId="35">
    <w:name w:val="17babae4-54f0-44fa-a444-1068224df0ac 字符"/>
    <w:basedOn w:val="18"/>
    <w:link w:val="34"/>
    <w:qFormat/>
    <w:uiPriority w:val="0"/>
    <w:rPr>
      <w:rFonts w:ascii="微软雅黑" w:hAnsi="微软雅黑" w:eastAsia="微软雅黑" w:cstheme="majorBidi"/>
      <w:b/>
      <w:bCs/>
      <w:color w:val="000000"/>
      <w:sz w:val="40"/>
      <w:szCs w:val="30"/>
    </w:rPr>
  </w:style>
  <w:style w:type="character" w:customStyle="1" w:styleId="36">
    <w:name w:val="标题 字符"/>
    <w:basedOn w:val="18"/>
    <w:link w:val="14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37">
    <w:name w:val="c047f70a-4733-4f89-8971-bccdea5ca046"/>
    <w:basedOn w:val="12"/>
    <w:next w:val="30"/>
    <w:link w:val="38"/>
    <w:qFormat/>
    <w:uiPriority w:val="0"/>
    <w:pPr>
      <w:adjustRightInd w:val="0"/>
      <w:spacing w:before="0" w:after="0" w:line="288" w:lineRule="auto"/>
      <w:outlineLvl w:val="9"/>
    </w:pPr>
    <w:rPr>
      <w:rFonts w:ascii="微软雅黑" w:hAnsi="微软雅黑" w:eastAsia="微软雅黑"/>
      <w:b w:val="0"/>
      <w:color w:val="000000"/>
      <w:sz w:val="36"/>
      <w:szCs w:val="30"/>
    </w:rPr>
  </w:style>
  <w:style w:type="character" w:customStyle="1" w:styleId="38">
    <w:name w:val="c047f70a-4733-4f89-8971-bccdea5ca046 字符"/>
    <w:basedOn w:val="18"/>
    <w:link w:val="37"/>
    <w:qFormat/>
    <w:uiPriority w:val="0"/>
    <w:rPr>
      <w:rFonts w:ascii="微软雅黑" w:hAnsi="微软雅黑" w:eastAsia="微软雅黑"/>
      <w:bCs/>
      <w:color w:val="000000"/>
      <w:kern w:val="28"/>
      <w:sz w:val="36"/>
      <w:szCs w:val="30"/>
    </w:rPr>
  </w:style>
  <w:style w:type="character" w:customStyle="1" w:styleId="39">
    <w:name w:val="副标题 字符"/>
    <w:basedOn w:val="18"/>
    <w:link w:val="12"/>
    <w:uiPriority w:val="11"/>
    <w:rPr>
      <w:b/>
      <w:bCs/>
      <w:kern w:val="28"/>
      <w:sz w:val="32"/>
      <w:szCs w:val="32"/>
    </w:rPr>
  </w:style>
  <w:style w:type="character" w:customStyle="1" w:styleId="40">
    <w:name w:val="标题 3 字符"/>
    <w:basedOn w:val="18"/>
    <w:link w:val="4"/>
    <w:semiHidden/>
    <w:qFormat/>
    <w:uiPriority w:val="9"/>
    <w:rPr>
      <w:b/>
      <w:bCs/>
      <w:sz w:val="32"/>
      <w:szCs w:val="32"/>
    </w:rPr>
  </w:style>
  <w:style w:type="paragraph" w:customStyle="1" w:styleId="41">
    <w:name w:val="566ba9ff-a5b0-4b6f-bbdf-c3ab41993fc2"/>
    <w:basedOn w:val="5"/>
    <w:next w:val="30"/>
    <w:link w:val="42"/>
    <w:uiPriority w:val="0"/>
    <w:pPr>
      <w:adjustRightInd w:val="0"/>
      <w:spacing w:before="0" w:after="0" w:line="288" w:lineRule="auto"/>
      <w:jc w:val="left"/>
      <w:outlineLvl w:val="1"/>
    </w:pPr>
    <w:rPr>
      <w:rFonts w:ascii="微软雅黑" w:hAnsi="微软雅黑" w:eastAsia="微软雅黑"/>
      <w:color w:val="000000"/>
      <w:sz w:val="24"/>
    </w:rPr>
  </w:style>
  <w:style w:type="character" w:customStyle="1" w:styleId="42">
    <w:name w:val="566ba9ff-a5b0-4b6f-bbdf-c3ab41993fc2 字符"/>
    <w:basedOn w:val="18"/>
    <w:link w:val="41"/>
    <w:qFormat/>
    <w:uiPriority w:val="0"/>
    <w:rPr>
      <w:rFonts w:ascii="微软雅黑" w:hAnsi="微软雅黑" w:eastAsia="微软雅黑" w:cstheme="majorBidi"/>
      <w:b/>
      <w:bCs/>
      <w:color w:val="000000"/>
      <w:sz w:val="24"/>
      <w:szCs w:val="28"/>
    </w:rPr>
  </w:style>
  <w:style w:type="character" w:customStyle="1" w:styleId="43">
    <w:name w:val="标题 4 字符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44">
    <w:name w:val="be358f00-9758-446e-aec5-cde8345aeef3"/>
    <w:basedOn w:val="15"/>
    <w:link w:val="45"/>
    <w:qFormat/>
    <w:uiPriority w:val="0"/>
    <w:pPr>
      <w:adjustRightInd w:val="0"/>
      <w:spacing w:after="0" w:line="288" w:lineRule="auto"/>
      <w:ind w:left="0" w:firstLine="440"/>
      <w:jc w:val="left"/>
      <w:outlineLvl w:val="1"/>
    </w:pPr>
    <w:rPr>
      <w:rFonts w:ascii="微软雅黑" w:hAnsi="微软雅黑" w:eastAsia="微软雅黑"/>
      <w:color w:val="000000"/>
      <w:sz w:val="22"/>
      <w:szCs w:val="24"/>
    </w:rPr>
  </w:style>
  <w:style w:type="character" w:customStyle="1" w:styleId="45">
    <w:name w:val="be358f00-9758-446e-aec5-cde8345aeef3 字符"/>
    <w:basedOn w:val="18"/>
    <w:link w:val="44"/>
    <w:qFormat/>
    <w:uiPriority w:val="0"/>
    <w:rPr>
      <w:rFonts w:ascii="微软雅黑" w:hAnsi="微软雅黑" w:eastAsia="微软雅黑"/>
      <w:color w:val="000000"/>
      <w:sz w:val="22"/>
      <w:szCs w:val="24"/>
    </w:rPr>
  </w:style>
  <w:style w:type="character" w:customStyle="1" w:styleId="46">
    <w:name w:val="正文文本缩进 字符"/>
    <w:basedOn w:val="18"/>
    <w:link w:val="6"/>
    <w:semiHidden/>
    <w:qFormat/>
    <w:uiPriority w:val="99"/>
  </w:style>
  <w:style w:type="character" w:customStyle="1" w:styleId="47">
    <w:name w:val="正文文本首行缩进 2 字符"/>
    <w:basedOn w:val="46"/>
    <w:link w:val="15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CA053-A2C8-4415-AFFC-CE7EE8A415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4775</Words>
  <Characters>5715</Characters>
  <Lines>424</Lines>
  <Paragraphs>335</Paragraphs>
  <TotalTime>28</TotalTime>
  <ScaleCrop>false</ScaleCrop>
  <LinksUpToDate>false</LinksUpToDate>
  <CharactersWithSpaces>6070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2023-06-13T07:11:00Z</dcterms:created>
  <dc:creator>微软用户</dc:creator>
  <cp:lastModifiedBy>飞尘蛊</cp:lastModifiedBy>
  <dcterms:modified xsi:type="dcterms:W3CDTF">2026-07-09T07:59:19Z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eyJoZGlkIjoiYWI3ZTViOTZjYWUxYzZjMGMyYmFjODdhMTQ4YWNkMTEiLCJ1c2VySWQiOiIxNTI4ODUwMzQ0In0=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D68781F7DFF24AB5ABBA677BAA6BEC01_12</vt:lpwstr>
  </property>
</Properties>
</file>