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820" w:rsidRDefault="000403CF" w:rsidP="000403CF">
      <w:pPr>
        <w:pStyle w:val="Tytu"/>
        <w:jc w:val="center"/>
      </w:pPr>
      <w:r>
        <w:t>Program obsługujący konto bankowe</w:t>
      </w:r>
    </w:p>
    <w:p w:rsidR="000403CF" w:rsidRDefault="000403CF" w:rsidP="000403CF"/>
    <w:p w:rsidR="000403CF" w:rsidRDefault="000403CF" w:rsidP="000403CF">
      <w:r>
        <w:t xml:space="preserve">2.1.Opis zasobów ludzkich - </w:t>
      </w:r>
      <w:r w:rsidRPr="000403CF">
        <w:rPr>
          <w:color w:val="FF0000"/>
        </w:rPr>
        <w:t>Grucha</w:t>
      </w:r>
    </w:p>
    <w:p w:rsidR="001B4932" w:rsidRDefault="000403CF" w:rsidP="000403CF">
      <w:r>
        <w:t xml:space="preserve">Co robią pracownicy? - Na podstawie tego opisu określa się po przystąpieniu do modelowania oprogramowania, jakie funkcje powinno wykonywać tworzone oprogramowanie, aby automatycznie wspomagać pracę ludzi, Uwaga: w przypadku systemów wbudowanych opis „świata rzeczywistego” powinien dotyczyć procesów technologicznych, które należy zautomatyzować. </w:t>
      </w:r>
    </w:p>
    <w:p w:rsidR="001B4932" w:rsidRDefault="001B4932" w:rsidP="000403CF">
      <w:r w:rsidRPr="00497DBF">
        <w:rPr>
          <w:rFonts w:ascii="Arial" w:hAnsi="Arial" w:cs="Arial"/>
          <w:color w:val="FF0000"/>
          <w:sz w:val="21"/>
          <w:szCs w:val="21"/>
          <w:shd w:val="clear" w:color="auto" w:fill="FFFFFF"/>
        </w:rPr>
        <w:t>Każdy rachunek bankowy posiada swój indywidualny numer. Sposób numeracji rachunków bankowych określa w drodze zarządzenia Prezes </w:t>
      </w:r>
      <w:hyperlink r:id="rId5" w:tooltip="Narodowy Bank Polski" w:history="1">
        <w:r w:rsidRPr="00497DBF">
          <w:rPr>
            <w:rStyle w:val="Hipercze"/>
            <w:rFonts w:ascii="Arial" w:hAnsi="Arial" w:cs="Arial"/>
            <w:color w:val="FF0000"/>
            <w:sz w:val="21"/>
            <w:szCs w:val="21"/>
            <w:shd w:val="clear" w:color="auto" w:fill="FFFFFF"/>
          </w:rPr>
          <w:t>Narodowego Banku Polskiego</w:t>
        </w:r>
      </w:hyperlink>
      <w:r w:rsidRPr="00497DBF">
        <w:rPr>
          <w:rFonts w:ascii="Arial" w:hAnsi="Arial" w:cs="Arial"/>
          <w:color w:val="FF0000"/>
          <w:sz w:val="21"/>
          <w:szCs w:val="21"/>
          <w:shd w:val="clear" w:color="auto" w:fill="FFFFFF"/>
        </w:rPr>
        <w:t>. Obecnie do identyfikacji rachunków bankowych w rozliczeniach stosuje się tzw. NRB, czyli 26-znakowy </w:t>
      </w:r>
      <w:hyperlink r:id="rId6" w:tooltip="Numer rachunku bankowego" w:history="1">
        <w:r w:rsidRPr="00497DBF">
          <w:rPr>
            <w:rStyle w:val="Hipercze"/>
            <w:rFonts w:ascii="Arial" w:hAnsi="Arial" w:cs="Arial"/>
            <w:color w:val="FF0000"/>
            <w:sz w:val="21"/>
            <w:szCs w:val="21"/>
            <w:shd w:val="clear" w:color="auto" w:fill="FFFFFF"/>
          </w:rPr>
          <w:t>Numer Rachunku Bankowego</w:t>
        </w:r>
      </w:hyperlink>
      <w:r w:rsidRPr="00497DBF">
        <w:rPr>
          <w:rFonts w:ascii="Arial" w:hAnsi="Arial" w:cs="Arial"/>
          <w:color w:val="FF0000"/>
          <w:sz w:val="21"/>
          <w:szCs w:val="21"/>
          <w:shd w:val="clear" w:color="auto" w:fill="FFFFFF"/>
        </w:rPr>
        <w:t> lub </w:t>
      </w:r>
      <w:hyperlink r:id="rId7" w:tooltip="Międzynarodowy numer rachunku bankowego" w:history="1">
        <w:r w:rsidRPr="00497DBF">
          <w:rPr>
            <w:rStyle w:val="Hipercze"/>
            <w:rFonts w:ascii="Arial" w:hAnsi="Arial" w:cs="Arial"/>
            <w:color w:val="FF0000"/>
            <w:sz w:val="21"/>
            <w:szCs w:val="21"/>
            <w:shd w:val="clear" w:color="auto" w:fill="FFFFFF"/>
          </w:rPr>
          <w:t>IBAN</w:t>
        </w:r>
      </w:hyperlink>
      <w:r w:rsidRPr="00497DBF">
        <w:rPr>
          <w:rFonts w:ascii="Arial" w:hAnsi="Arial" w:cs="Arial"/>
          <w:color w:val="FF0000"/>
          <w:sz w:val="21"/>
          <w:szCs w:val="21"/>
          <w:shd w:val="clear" w:color="auto" w:fill="FFFFFF"/>
        </w:rPr>
        <w:t> (ang. </w:t>
      </w:r>
      <w:r w:rsidRPr="00497DBF">
        <w:rPr>
          <w:rFonts w:ascii="Arial" w:hAnsi="Arial" w:cs="Arial"/>
          <w:i/>
          <w:iCs/>
          <w:color w:val="FF0000"/>
          <w:sz w:val="21"/>
          <w:szCs w:val="21"/>
          <w:shd w:val="clear" w:color="auto" w:fill="FFFFFF"/>
        </w:rPr>
        <w:t>International Bank Account Number</w:t>
      </w:r>
      <w:r w:rsidRPr="00497DBF">
        <w:rPr>
          <w:rFonts w:ascii="Arial" w:hAnsi="Arial" w:cs="Arial"/>
          <w:color w:val="FF0000"/>
          <w:sz w:val="21"/>
          <w:szCs w:val="21"/>
          <w:shd w:val="clear" w:color="auto" w:fill="FFFFFF"/>
        </w:rPr>
        <w:t>), tj. 28-znakowy Międzynarodowy Numer Rachunku Bankowego</w:t>
      </w:r>
      <w:r>
        <w:rPr>
          <w:rFonts w:ascii="Arial" w:hAnsi="Arial" w:cs="Arial"/>
          <w:color w:val="222222"/>
          <w:sz w:val="21"/>
          <w:szCs w:val="21"/>
          <w:shd w:val="clear" w:color="auto" w:fill="FFFFFF"/>
        </w:rPr>
        <w:t>.</w:t>
      </w:r>
    </w:p>
    <w:p w:rsidR="00497DBF" w:rsidRDefault="000403CF" w:rsidP="00497DBF">
      <w:r>
        <w:t xml:space="preserve">2.2.Przepisy i strategia firmy </w:t>
      </w:r>
      <w:r w:rsidR="00D67E0D">
        <w:t>–</w:t>
      </w:r>
      <w:r>
        <w:t xml:space="preserve"> </w:t>
      </w:r>
      <w:r w:rsidRPr="000403CF">
        <w:rPr>
          <w:color w:val="FF0000"/>
        </w:rPr>
        <w:t>Ola</w:t>
      </w:r>
    </w:p>
    <w:p w:rsidR="00497DBF" w:rsidRPr="00497DBF" w:rsidRDefault="00497DBF" w:rsidP="000403CF">
      <w:r>
        <w:t xml:space="preserve">Co ogranicza działalność firmy? – Wykonanie opisu zawierającego specyfikację przepisów, ustaw, zarządzeń, strategii firmy itp. Po przystąpieniu do modelowania oprogramowania należy uwzględnić te ograniczenia na działanie funkcji, jakie system powinien wykonywać, aby wspomagać automatycznie pracę ludzi, </w:t>
      </w:r>
    </w:p>
    <w:p w:rsidR="00D67E0D" w:rsidRDefault="00D67E0D" w:rsidP="000403CF">
      <w:r>
        <w:t>Przepisy dotyczące prawa bankowego (</w:t>
      </w:r>
      <w:r>
        <w:t>Art. 4.</w:t>
      </w:r>
      <w:r>
        <w:t>) :</w:t>
      </w:r>
      <w:r>
        <w:br/>
        <w:t xml:space="preserve"> Forma płatności – pieniądz elektroniczny (odpowiednik znaków pieniężnych) spełniający poniższe warunki: </w:t>
      </w:r>
    </w:p>
    <w:p w:rsidR="00D67E0D" w:rsidRDefault="00D67E0D" w:rsidP="00D67E0D">
      <w:pPr>
        <w:pStyle w:val="Akapitzlist"/>
        <w:numPr>
          <w:ilvl w:val="0"/>
          <w:numId w:val="1"/>
        </w:numPr>
      </w:pPr>
      <w:r>
        <w:t xml:space="preserve">Przechowywany na elektronicznych nośnikach informacji </w:t>
      </w:r>
    </w:p>
    <w:p w:rsidR="00D67E0D" w:rsidRDefault="00D67E0D" w:rsidP="00D67E0D">
      <w:pPr>
        <w:pStyle w:val="Akapitzlist"/>
        <w:numPr>
          <w:ilvl w:val="0"/>
          <w:numId w:val="1"/>
        </w:numPr>
      </w:pPr>
      <w:r>
        <w:t>Wydawany do dyspozycji na podstawie umowy w zamian za środki pieniężny o nominalnej wartości nie mniejszej niż ta wartość</w:t>
      </w:r>
    </w:p>
    <w:p w:rsidR="00D67E0D" w:rsidRDefault="00D67E0D" w:rsidP="00D67E0D">
      <w:pPr>
        <w:pStyle w:val="Akapitzlist"/>
        <w:numPr>
          <w:ilvl w:val="0"/>
          <w:numId w:val="1"/>
        </w:numPr>
      </w:pPr>
      <w:r>
        <w:t>Przyjmowany jako środek płatniczy przez przedsiębiorców innych niż wydający ją do dyspozycji</w:t>
      </w:r>
    </w:p>
    <w:p w:rsidR="00D67E0D" w:rsidRDefault="00D67E0D" w:rsidP="00D67E0D">
      <w:pPr>
        <w:pStyle w:val="Akapitzlist"/>
        <w:numPr>
          <w:ilvl w:val="0"/>
          <w:numId w:val="1"/>
        </w:numPr>
      </w:pPr>
      <w:r>
        <w:t>Na żądanie jest wymieniany przez wydawcę na środki pieniężne</w:t>
      </w:r>
    </w:p>
    <w:p w:rsidR="00D67E0D" w:rsidRDefault="00D67E0D" w:rsidP="00D67E0D">
      <w:pPr>
        <w:pStyle w:val="Akapitzlist"/>
        <w:numPr>
          <w:ilvl w:val="0"/>
          <w:numId w:val="1"/>
        </w:numPr>
      </w:pPr>
      <w:r>
        <w:t>Wyrażony w jednostkach pieniężnych</w:t>
      </w:r>
    </w:p>
    <w:p w:rsidR="00D67E0D" w:rsidRDefault="00D67E0D" w:rsidP="00D67E0D">
      <w:pPr>
        <w:pStyle w:val="Akapitzlist"/>
        <w:numPr>
          <w:ilvl w:val="0"/>
          <w:numId w:val="1"/>
        </w:numPr>
      </w:pPr>
      <w:r>
        <w:t>Transfer  środków pieniężnych</w:t>
      </w:r>
    </w:p>
    <w:p w:rsidR="001B4932" w:rsidRDefault="001B4932" w:rsidP="001B4932">
      <w:r>
        <w:t>W przypadku negatywnej weryfikacji danych – bank dokona zwrotu przelewu przekazując w tytule przelewu informację o odrzuceniu wniosku</w:t>
      </w:r>
    </w:p>
    <w:p w:rsidR="001B4932" w:rsidRDefault="001B4932" w:rsidP="001B4932">
      <w:r>
        <w:t>P</w:t>
      </w:r>
      <w:r>
        <w:t>o zaksięgowaniu Przelewu autoryzacyjnego Bank weryfikuje zgodność danych przelewu z danymi wskazanymi we Wniosku oraz skanie dowodu osobistego w zakresie imienia, nazwiska, adresu nadawcy przelewu, numer rachunku oszczędnościowo-rozliczeniowego, z którego zrealizowano przelew, tytułu i kwoty przelewu</w:t>
      </w:r>
    </w:p>
    <w:p w:rsidR="003919D0" w:rsidRDefault="003919D0" w:rsidP="003919D0">
      <w:r>
        <w:t>Pakiet, według którego naliczane będą opłaty i prowizje za czynności związane z obsługą Konta oraz oprocentowanie Rachunku bież</w:t>
      </w:r>
      <w:r w:rsidR="00497DBF">
        <w:t>ącego (np. za prowadzenie konta, za krajowe przelewy przez internet, za użytkowanie karty do konta, za wypłaty z bankomatów)</w:t>
      </w:r>
    </w:p>
    <w:p w:rsidR="003919D0" w:rsidRDefault="003919D0" w:rsidP="003919D0">
      <w:r>
        <w:t>Wpłaty</w:t>
      </w:r>
      <w:r w:rsidR="00497DBF">
        <w:t>/ wpłaty</w:t>
      </w:r>
      <w:r>
        <w:t xml:space="preserve"> na rachunek: </w:t>
      </w:r>
      <w:r w:rsidR="00497DBF">
        <w:t xml:space="preserve"> ust. 2</w:t>
      </w:r>
    </w:p>
    <w:p w:rsidR="003919D0" w:rsidRDefault="003919D0" w:rsidP="003919D0">
      <w:r>
        <w:t>- gotówkowa – w placówkach</w:t>
      </w:r>
      <w:r w:rsidR="00497DBF">
        <w:t xml:space="preserve"> (przy użyciu kart płatniczych, na podstawie polecenia wypłaty)</w:t>
      </w:r>
    </w:p>
    <w:p w:rsidR="003919D0" w:rsidRDefault="003919D0" w:rsidP="003919D0">
      <w:r>
        <w:t xml:space="preserve">- </w:t>
      </w:r>
      <w:r w:rsidR="00497DBF">
        <w:t xml:space="preserve">bezgotówkowa – przy użyciu kart płatniczych / </w:t>
      </w:r>
      <w:r>
        <w:t xml:space="preserve">przelew </w:t>
      </w:r>
      <w:r w:rsidR="00497DBF">
        <w:t xml:space="preserve">na rachunek </w:t>
      </w:r>
    </w:p>
    <w:p w:rsidR="003919D0" w:rsidRDefault="003919D0" w:rsidP="003919D0">
      <w:r>
        <w:lastRenderedPageBreak/>
        <w:t>§</w:t>
      </w:r>
      <w:r w:rsidR="00497DBF">
        <w:t xml:space="preserve"> Art.</w:t>
      </w:r>
      <w:r>
        <w:t xml:space="preserve"> 24</w:t>
      </w:r>
    </w:p>
    <w:p w:rsidR="003919D0" w:rsidRDefault="003919D0" w:rsidP="003919D0">
      <w:r>
        <w:t>Zlecenie płatnicze nie jest realizowane przez Bank w przypadku, gdy:</w:t>
      </w:r>
    </w:p>
    <w:p w:rsidR="003919D0" w:rsidRDefault="003919D0" w:rsidP="003919D0">
      <w:pPr>
        <w:pStyle w:val="Akapitzlist"/>
        <w:numPr>
          <w:ilvl w:val="0"/>
          <w:numId w:val="3"/>
        </w:numPr>
      </w:pPr>
      <w:r>
        <w:t>brak będzie środków na pokrycie kwoty Zlecenia płatniczego</w:t>
      </w:r>
    </w:p>
    <w:p w:rsidR="003919D0" w:rsidRDefault="003919D0" w:rsidP="003919D0">
      <w:pPr>
        <w:pStyle w:val="Akapitzlist"/>
        <w:numPr>
          <w:ilvl w:val="0"/>
          <w:numId w:val="3"/>
        </w:numPr>
      </w:pPr>
      <w:r>
        <w:t>w dyspozycji został podany błędny Unikatowy identyfikator</w:t>
      </w:r>
    </w:p>
    <w:p w:rsidR="003919D0" w:rsidRDefault="003919D0" w:rsidP="008E0ED0">
      <w:r>
        <w:t>VI. Lokaty § 28</w:t>
      </w:r>
    </w:p>
    <w:p w:rsidR="00DF1CE4" w:rsidRDefault="00DF1CE4" w:rsidP="00DF1CE4">
      <w:r>
        <w:t>Na dzień zamknięcia Rachunku oszczędnościowego do dyspozycji Posiadacza stawiane są odsetki naliczone do dnia poprzedzającego dzień zamknięcia Rachunku oszczędnościowego włącznie.</w:t>
      </w:r>
    </w:p>
    <w:p w:rsidR="00DF1CE4" w:rsidRDefault="00DF1CE4" w:rsidP="00DF1CE4">
      <w:r>
        <w:t>§ 39</w:t>
      </w:r>
    </w:p>
    <w:p w:rsidR="00DF1CE4" w:rsidRDefault="00DF1CE4" w:rsidP="00DF1CE4">
      <w:r>
        <w:t>Rachunki bieżące nie są oprocentowane.</w:t>
      </w:r>
      <w:bookmarkStart w:id="0" w:name="_GoBack"/>
      <w:bookmarkEnd w:id="0"/>
    </w:p>
    <w:p w:rsidR="00DF1CE4" w:rsidRDefault="00DF1CE4" w:rsidP="00DF1CE4">
      <w:r>
        <w:t>Każda spłata całości lub części zadłużenia z tytułu Limitu kredytowego powoduje zwiększenie Dostępnych środków na Rachunku bieżącym.</w:t>
      </w:r>
    </w:p>
    <w:p w:rsidR="00497DBF" w:rsidRDefault="00497DBF" w:rsidP="00DF1CE4">
      <w:r>
        <w:t>===============================================================</w:t>
      </w:r>
    </w:p>
    <w:p w:rsidR="000403CF" w:rsidRDefault="000403CF" w:rsidP="000403CF">
      <w:r>
        <w:t xml:space="preserve">3. Zdefiniowanie wymagań funkcjonalnych i niefunkcjonalnych programu na podstawie opisu biznesowego, przedstawiające czynności projektowanego oprogramowania - </w:t>
      </w:r>
      <w:r w:rsidRPr="000403CF">
        <w:rPr>
          <w:color w:val="FF0000"/>
        </w:rPr>
        <w:t>Ola</w:t>
      </w:r>
    </w:p>
    <w:p w:rsidR="000403CF" w:rsidRDefault="000403CF" w:rsidP="000403CF">
      <w:r>
        <w:t xml:space="preserve"> </w:t>
      </w:r>
      <w:r>
        <w:sym w:font="Symbol" w:char="F0B7"/>
      </w:r>
      <w:r>
        <w:t xml:space="preserve"> co program powinien robić, aby zautomatyzować procesy wykonywane przez tzw. zasoby ludzkie? – reprezentowane przez wymagania funkcjonalne </w:t>
      </w:r>
    </w:p>
    <w:p w:rsidR="00DF1CE4" w:rsidRDefault="00DF1CE4" w:rsidP="000403CF">
      <w:r>
        <w:t>Program powinien:</w:t>
      </w:r>
    </w:p>
    <w:p w:rsidR="00DF1CE4" w:rsidRDefault="00DF1CE4" w:rsidP="00DF1CE4">
      <w:pPr>
        <w:pStyle w:val="Akapitzlist"/>
        <w:numPr>
          <w:ilvl w:val="0"/>
          <w:numId w:val="4"/>
        </w:numPr>
      </w:pPr>
      <w:r>
        <w:t>księgować wszystkie wpłaty i wypłaty na konta bankowe</w:t>
      </w:r>
    </w:p>
    <w:p w:rsidR="00DF1CE4" w:rsidRDefault="00DF1CE4" w:rsidP="00DF1CE4">
      <w:pPr>
        <w:pStyle w:val="Akapitzlist"/>
        <w:numPr>
          <w:ilvl w:val="0"/>
          <w:numId w:val="4"/>
        </w:numPr>
      </w:pPr>
      <w:r>
        <w:t>zmieniać stan bieżącego konta właściciela</w:t>
      </w:r>
    </w:p>
    <w:p w:rsidR="00DF1CE4" w:rsidRDefault="00DF1CE4" w:rsidP="00DF1CE4">
      <w:pPr>
        <w:pStyle w:val="Akapitzlist"/>
        <w:numPr>
          <w:ilvl w:val="0"/>
          <w:numId w:val="4"/>
        </w:numPr>
      </w:pPr>
      <w:r>
        <w:t>sprawdzać, czy wprowadzone dane są prawidłowe – od tego zależy, czy uda się dana transakcja</w:t>
      </w:r>
      <w:r w:rsidR="00497DBF">
        <w:t xml:space="preserve"> (np. brak dostępnych środków potrzebnych do wykonania przelewu, pomyłka we wpisanym numerze konta)</w:t>
      </w:r>
    </w:p>
    <w:p w:rsidR="00DF1CE4" w:rsidRDefault="00DF1CE4" w:rsidP="00DF1CE4">
      <w:pPr>
        <w:pStyle w:val="Akapitzlist"/>
        <w:numPr>
          <w:ilvl w:val="0"/>
          <w:numId w:val="4"/>
        </w:numPr>
      </w:pPr>
      <w:r>
        <w:t>dokonywać przelewu pieniężnego, rejestrować wszystkie wpłaty i wypłaty dokonywane za pomocą formy gotówkowej i bezgotówkowej</w:t>
      </w:r>
    </w:p>
    <w:p w:rsidR="00DF1CE4" w:rsidRDefault="00DF1CE4" w:rsidP="00DF1CE4">
      <w:pPr>
        <w:pStyle w:val="Akapitzlist"/>
        <w:numPr>
          <w:ilvl w:val="0"/>
          <w:numId w:val="4"/>
        </w:numPr>
      </w:pPr>
      <w:r>
        <w:t>zliczać odsetki naliczone dla danego posiadacza konta</w:t>
      </w:r>
    </w:p>
    <w:p w:rsidR="00DF1CE4" w:rsidRDefault="00497DBF" w:rsidP="00DF1CE4">
      <w:pPr>
        <w:pStyle w:val="Akapitzlist"/>
        <w:numPr>
          <w:ilvl w:val="0"/>
          <w:numId w:val="4"/>
        </w:numPr>
      </w:pPr>
      <w:r>
        <w:t>usuwanie klientów z bazy</w:t>
      </w:r>
    </w:p>
    <w:p w:rsidR="00DF1CE4" w:rsidRDefault="00DF1CE4" w:rsidP="000403CF"/>
    <w:p w:rsidR="000403CF" w:rsidRDefault="000403CF" w:rsidP="000403CF">
      <w:r>
        <w:sym w:font="Symbol" w:char="F0B7"/>
      </w:r>
      <w:r>
        <w:t xml:space="preserve"> jakie rozwiązania technologiczne zastosować, aby program spełniał oczekiwania strony zamawiającej w zakresie bezpieczeństwa (security), niezawodności (safety), skalowalności i wydajności.</w:t>
      </w:r>
    </w:p>
    <w:p w:rsidR="00497DBF" w:rsidRDefault="00497DBF" w:rsidP="000403CF">
      <w:r>
        <w:t>Rozwiązania technologiczne:</w:t>
      </w:r>
    </w:p>
    <w:p w:rsidR="00497DBF" w:rsidRDefault="00497DBF" w:rsidP="00497DBF">
      <w:pPr>
        <w:pStyle w:val="Akapitzlist"/>
        <w:numPr>
          <w:ilvl w:val="0"/>
          <w:numId w:val="5"/>
        </w:numPr>
        <w:rPr>
          <w:rStyle w:val="Wyrnienieintensywne"/>
          <w:i w:val="0"/>
          <w:color w:val="auto"/>
        </w:rPr>
      </w:pPr>
      <w:r>
        <w:rPr>
          <w:rStyle w:val="Wyrnienieintensywne"/>
          <w:i w:val="0"/>
          <w:color w:val="auto"/>
        </w:rPr>
        <w:t>„</w:t>
      </w:r>
      <w:r w:rsidRPr="00497DBF">
        <w:rPr>
          <w:rStyle w:val="Wyrnienieintensywne"/>
          <w:i w:val="0"/>
          <w:color w:val="auto"/>
        </w:rPr>
        <w:t>prywatność</w:t>
      </w:r>
      <w:r>
        <w:rPr>
          <w:rStyle w:val="Wyrnienieintensywne"/>
          <w:i w:val="0"/>
          <w:color w:val="auto"/>
        </w:rPr>
        <w:t>” każdego konta</w:t>
      </w:r>
    </w:p>
    <w:p w:rsidR="00497DBF" w:rsidRDefault="00497DBF" w:rsidP="00497DBF">
      <w:pPr>
        <w:pStyle w:val="Akapitzlist"/>
        <w:numPr>
          <w:ilvl w:val="0"/>
          <w:numId w:val="5"/>
        </w:numPr>
        <w:rPr>
          <w:rStyle w:val="Wyrnienieintensywne"/>
          <w:i w:val="0"/>
          <w:color w:val="auto"/>
        </w:rPr>
      </w:pPr>
      <w:r>
        <w:rPr>
          <w:rStyle w:val="Wyrnienieintensywne"/>
          <w:i w:val="0"/>
          <w:color w:val="auto"/>
        </w:rPr>
        <w:t>Brak dostępu pracownika do przeglądania wszystkich danych personalnych – z wyjątkiem wprowadzania klienta do systemu</w:t>
      </w:r>
    </w:p>
    <w:p w:rsidR="00497DBF" w:rsidRPr="00497DBF" w:rsidRDefault="00497DBF" w:rsidP="00497DBF">
      <w:pPr>
        <w:pStyle w:val="Akapitzlist"/>
        <w:numPr>
          <w:ilvl w:val="0"/>
          <w:numId w:val="5"/>
        </w:numPr>
        <w:rPr>
          <w:rStyle w:val="Wyrnienieintensywne"/>
          <w:i w:val="0"/>
          <w:color w:val="auto"/>
        </w:rPr>
      </w:pPr>
      <w:r>
        <w:rPr>
          <w:rStyle w:val="Wyrnienieintensywne"/>
          <w:i w:val="0"/>
          <w:color w:val="auto"/>
        </w:rPr>
        <w:t>Wszystkie dane użytkowników przechowywane byłyby w bazach danych o ograniczonym dostępie innych użytkowników</w:t>
      </w:r>
    </w:p>
    <w:sectPr w:rsidR="00497DBF" w:rsidRPr="00497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74DC9"/>
    <w:multiLevelType w:val="hybridMultilevel"/>
    <w:tmpl w:val="B63A5C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7017F3C"/>
    <w:multiLevelType w:val="hybridMultilevel"/>
    <w:tmpl w:val="23585756"/>
    <w:lvl w:ilvl="0" w:tplc="99F282BE">
      <w:start w:val="1"/>
      <w:numFmt w:val="lowerLetter"/>
      <w:lvlText w:val="%1)"/>
      <w:lvlJc w:val="left"/>
      <w:pPr>
        <w:ind w:left="405" w:hanging="360"/>
      </w:pPr>
      <w:rPr>
        <w:rFonts w:hint="default"/>
      </w:rPr>
    </w:lvl>
    <w:lvl w:ilvl="1" w:tplc="04150019" w:tentative="1">
      <w:start w:val="1"/>
      <w:numFmt w:val="lowerLetter"/>
      <w:lvlText w:val="%2."/>
      <w:lvlJc w:val="left"/>
      <w:pPr>
        <w:ind w:left="1125" w:hanging="360"/>
      </w:pPr>
    </w:lvl>
    <w:lvl w:ilvl="2" w:tplc="0415001B" w:tentative="1">
      <w:start w:val="1"/>
      <w:numFmt w:val="lowerRoman"/>
      <w:lvlText w:val="%3."/>
      <w:lvlJc w:val="right"/>
      <w:pPr>
        <w:ind w:left="1845" w:hanging="180"/>
      </w:pPr>
    </w:lvl>
    <w:lvl w:ilvl="3" w:tplc="0415000F" w:tentative="1">
      <w:start w:val="1"/>
      <w:numFmt w:val="decimal"/>
      <w:lvlText w:val="%4."/>
      <w:lvlJc w:val="left"/>
      <w:pPr>
        <w:ind w:left="2565" w:hanging="360"/>
      </w:pPr>
    </w:lvl>
    <w:lvl w:ilvl="4" w:tplc="04150019" w:tentative="1">
      <w:start w:val="1"/>
      <w:numFmt w:val="lowerLetter"/>
      <w:lvlText w:val="%5."/>
      <w:lvlJc w:val="left"/>
      <w:pPr>
        <w:ind w:left="3285" w:hanging="360"/>
      </w:pPr>
    </w:lvl>
    <w:lvl w:ilvl="5" w:tplc="0415001B" w:tentative="1">
      <w:start w:val="1"/>
      <w:numFmt w:val="lowerRoman"/>
      <w:lvlText w:val="%6."/>
      <w:lvlJc w:val="right"/>
      <w:pPr>
        <w:ind w:left="4005" w:hanging="180"/>
      </w:pPr>
    </w:lvl>
    <w:lvl w:ilvl="6" w:tplc="0415000F" w:tentative="1">
      <w:start w:val="1"/>
      <w:numFmt w:val="decimal"/>
      <w:lvlText w:val="%7."/>
      <w:lvlJc w:val="left"/>
      <w:pPr>
        <w:ind w:left="4725" w:hanging="360"/>
      </w:pPr>
    </w:lvl>
    <w:lvl w:ilvl="7" w:tplc="04150019" w:tentative="1">
      <w:start w:val="1"/>
      <w:numFmt w:val="lowerLetter"/>
      <w:lvlText w:val="%8."/>
      <w:lvlJc w:val="left"/>
      <w:pPr>
        <w:ind w:left="5445" w:hanging="360"/>
      </w:pPr>
    </w:lvl>
    <w:lvl w:ilvl="8" w:tplc="0415001B" w:tentative="1">
      <w:start w:val="1"/>
      <w:numFmt w:val="lowerRoman"/>
      <w:lvlText w:val="%9."/>
      <w:lvlJc w:val="right"/>
      <w:pPr>
        <w:ind w:left="6165" w:hanging="180"/>
      </w:pPr>
    </w:lvl>
  </w:abstractNum>
  <w:abstractNum w:abstractNumId="2" w15:restartNumberingAfterBreak="0">
    <w:nsid w:val="5B922D83"/>
    <w:multiLevelType w:val="hybridMultilevel"/>
    <w:tmpl w:val="6D942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EC952A5"/>
    <w:multiLevelType w:val="hybridMultilevel"/>
    <w:tmpl w:val="9AB45A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E2F1D1E"/>
    <w:multiLevelType w:val="hybridMultilevel"/>
    <w:tmpl w:val="57748C3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CF"/>
    <w:rsid w:val="000403CF"/>
    <w:rsid w:val="001B4932"/>
    <w:rsid w:val="00372D73"/>
    <w:rsid w:val="003919D0"/>
    <w:rsid w:val="00497DBF"/>
    <w:rsid w:val="004D6820"/>
    <w:rsid w:val="008E0ED0"/>
    <w:rsid w:val="00D67E0D"/>
    <w:rsid w:val="00DF1C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EFCC"/>
  <w15:chartTrackingRefBased/>
  <w15:docId w15:val="{BFA60449-B487-4178-89A9-BF86384A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noProof/>
    </w:rPr>
  </w:style>
  <w:style w:type="paragraph" w:styleId="Nagwek1">
    <w:name w:val="heading 1"/>
    <w:basedOn w:val="Normalny"/>
    <w:next w:val="Normalny"/>
    <w:link w:val="Nagwek1Znak"/>
    <w:uiPriority w:val="9"/>
    <w:qFormat/>
    <w:rsid w:val="000403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40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403CF"/>
    <w:rPr>
      <w:rFonts w:asciiTheme="majorHAnsi" w:eastAsiaTheme="majorEastAsia" w:hAnsiTheme="majorHAnsi" w:cstheme="majorBidi"/>
      <w:noProof/>
      <w:spacing w:val="-10"/>
      <w:kern w:val="28"/>
      <w:sz w:val="56"/>
      <w:szCs w:val="56"/>
    </w:rPr>
  </w:style>
  <w:style w:type="character" w:styleId="Wyrnienieintensywne">
    <w:name w:val="Intense Emphasis"/>
    <w:basedOn w:val="Domylnaczcionkaakapitu"/>
    <w:uiPriority w:val="21"/>
    <w:qFormat/>
    <w:rsid w:val="000403CF"/>
    <w:rPr>
      <w:i/>
      <w:iCs/>
      <w:color w:val="5B9BD5" w:themeColor="accent1"/>
    </w:rPr>
  </w:style>
  <w:style w:type="character" w:customStyle="1" w:styleId="Nagwek1Znak">
    <w:name w:val="Nagłówek 1 Znak"/>
    <w:basedOn w:val="Domylnaczcionkaakapitu"/>
    <w:link w:val="Nagwek1"/>
    <w:uiPriority w:val="9"/>
    <w:rsid w:val="000403CF"/>
    <w:rPr>
      <w:rFonts w:asciiTheme="majorHAnsi" w:eastAsiaTheme="majorEastAsia" w:hAnsiTheme="majorHAnsi" w:cstheme="majorBidi"/>
      <w:noProof/>
      <w:color w:val="2E74B5" w:themeColor="accent1" w:themeShade="BF"/>
      <w:sz w:val="32"/>
      <w:szCs w:val="32"/>
    </w:rPr>
  </w:style>
  <w:style w:type="paragraph" w:styleId="Akapitzlist">
    <w:name w:val="List Paragraph"/>
    <w:basedOn w:val="Normalny"/>
    <w:uiPriority w:val="34"/>
    <w:qFormat/>
    <w:rsid w:val="00D67E0D"/>
    <w:pPr>
      <w:ind w:left="720"/>
      <w:contextualSpacing/>
    </w:pPr>
  </w:style>
  <w:style w:type="character" w:styleId="Hipercze">
    <w:name w:val="Hyperlink"/>
    <w:basedOn w:val="Domylnaczcionkaakapitu"/>
    <w:uiPriority w:val="99"/>
    <w:semiHidden/>
    <w:unhideWhenUsed/>
    <w:rsid w:val="001B4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wikipedia.org/wiki/Mi%C4%99dzynarodowy_numer_rachunku_bankowe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wikipedia.org/wiki/Numer_rachunku_bankowego" TargetMode="External"/><Relationship Id="rId5" Type="http://schemas.openxmlformats.org/officeDocument/2006/relationships/hyperlink" Target="https://pl.wikipedia.org/wiki/Narodowy_Bank_Pols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690</Words>
  <Characters>4141</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2017-10-11T09:26:00Z</dcterms:created>
  <dcterms:modified xsi:type="dcterms:W3CDTF">2017-10-11T10:38:00Z</dcterms:modified>
</cp:coreProperties>
</file>