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240" w:lineRule="auto"/>
        <w:jc w:val="center"/>
      </w:pPr>
      <w:r>
        <w:rPr>
          <w:rFonts w:ascii="Calibri" w:hAnsi="Calibri" w:eastAsia="Microsoft YaHei"/>
          <w:b/>
          <w:color w:val="1F2937"/>
          <w:sz w:val="40"/>
        </w:rPr>
        <w:t>RiRUFold 中 ADMM 展开模型的论据化改进方案</w:t>
      </w: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 w:val="0"/>
          <w:color w:val="5B6573"/>
          <w:sz w:val="21"/>
        </w:rPr>
        <w:t>基于 SCLT 张量 ADMM 文献的可借鉴逻辑、现有代码核查与后续验证路径</w:t>
      </w:r>
    </w:p>
    <w:tbl>
      <w:tblPr>
        <w:tblW w:type="dxa" w:w="91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文档定位：</w:t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本文件是下一版网络与实验的设计说明，不是论文正文。所有“改进效果”均为待验证假设；只有基于真实训练权重的结果才能用于论文和回复审稿人。</w:t>
            </w:r>
          </w:p>
        </w:tc>
      </w:tr>
    </w:tbl>
    <w:p>
      <w:pPr>
        <w:spacing w:after="20"/>
      </w:pP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一、目标与核心判断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现阶段最需要解决的不是继续叠加卷积或注意力模块，而是让 RiRUFold 的网络实现、SRMT/ADMM 公式、图示和消融实验形成一致的论据链。审稿人关注的核心有两点：WLSE 是否只是已有权重的简单相乘；LR_G、SR_G、RW_G、DV_G 是否只是没有严格来源的黑箱卷积。</w:t>
      </w:r>
    </w:p>
    <w:tbl>
      <w:tblPr>
        <w:tblW w:type="dxa" w:w="91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建议的核心创新表述：</w:t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提出“背景-稀疏协同演化的 WLSE”：局部结构权重由当前背景估计获得，稀疏增强权重由当前目标估计获得，二者在每个展开阶段耦合后显式控制下一次加权稀疏更新。创新重点不是倒数重加权本身，而是两类信息在 ADMM 状态循环中的分工、耦合和反馈。</w:t>
            </w:r>
          </w:p>
        </w:tc>
      </w:tr>
    </w:tbl>
    <w:p>
      <w:pPr>
        <w:spacing w:after="20"/>
      </w:pP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二、附件文章可借鉴的论证逻辑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附件 SCLT 文章是一个面向时空数据补全的 ADMM 张量重建方法，并非 deep unfolding 网络。它不应直接作为 RiRUFold 的展开网络基线，但其方法论非常值得学习：先分清不同信息来源，再把先验放入明确的目标函数与更新序列，最后用组件消融、残差诊断和边界实验验证。该文仍处于 proof/初稿状态，若后续拟引用，需核实正式出版信息。</w:t>
      </w:r>
    </w:p>
    <w:tbl>
      <w:tblPr>
        <w:tblStyle w:val="TableGrid"/>
        <w:tblW w:type="dxa" w:w="91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4800"/>
        <w:gridCol w:w="162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SCLT 的关键观点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 RiRUFold 的可借鉴内容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对应审稿意见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区分不同重建目标及其信息来源</w:t>
            </w:r>
          </w:p>
        </w:tc>
        <w:tc>
          <w:tcPr>
            <w:tcW w:type="dxa" w:w="480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将背景局部结构与稀疏目标证据分开建模；两者均不应被称为完整目标检测器。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将空间先验定义为独立算子</w:t>
            </w:r>
          </w:p>
        </w:tc>
        <w:tc>
          <w:tcPr>
            <w:tcW w:type="dxa" w:w="480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明确 W_LS 的输入、输出、权重方向及其进入稀疏更新的位置。</w:t>
            </w:r>
          </w:p>
        </w:tc>
        <w:tc>
          <w:tcPr>
            <w:tcW w:type="dxa" w:w="16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1、5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先给目标函数，再推导 ADMM 更新</w:t>
            </w:r>
          </w:p>
        </w:tc>
        <w:tc>
          <w:tcPr>
            <w:tcW w:type="dxa" w:w="480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在介绍网络前先给出 B、S、W、U、mu 的状态变量和更新顺序。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2、5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反复交换而非一次拼接才构成耦合</w:t>
            </w:r>
          </w:p>
        </w:tc>
        <w:tc>
          <w:tcPr>
            <w:tcW w:type="dxa" w:w="480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让 B^k 更新 W_LS，S^k 更新 W_SE，W_LSE 再影响 S^(k+1)。</w:t>
            </w:r>
          </w:p>
        </w:tc>
        <w:tc>
          <w:tcPr>
            <w:tcW w:type="dxa" w:w="16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记录原始/对偶残差并做停止判断</w:t>
            </w:r>
          </w:p>
        </w:tc>
        <w:tc>
          <w:tcPr>
            <w:tcW w:type="dxa" w:w="480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输出真实阶段残差曲线，以验证 residual feedback 的作用。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2</w:t>
            </w:r>
          </w:p>
        </w:tc>
      </w:tr>
      <w:tr>
        <w:tc>
          <w:tcPr>
            <w:tcW w:type="dxa" w:w="270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实验结论是条件性的，不宣称普适最优</w:t>
            </w:r>
          </w:p>
        </w:tc>
        <w:tc>
          <w:tcPr>
            <w:tcW w:type="dxa" w:w="480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按背景结构复杂度、SCR、目标尺寸分组，明确 WLSE 的适用场景。</w:t>
            </w:r>
          </w:p>
        </w:tc>
        <w:tc>
          <w:tcPr>
            <w:tcW w:type="dxa" w:w="16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1、3</w:t>
            </w:r>
          </w:p>
        </w:tc>
      </w:tr>
    </w:tbl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三、现有 RiRUFold 代码与论文表述的关键缺口</w:t>
      </w:r>
    </w:p>
    <w:tbl>
      <w:tblPr>
        <w:tblStyle w:val="TableGrid"/>
        <w:tblW w:type="dxa" w:w="91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520"/>
        <w:gridCol w:w="3180"/>
        <w:gridCol w:w="342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现有实现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对论文解释的影响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forward 返回未变化的 D；训练计算 MSE(out_D, data)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该 MSE 理论上恒为零，背景 B 未被直接监督。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X = B + S 的分解约束没有进入有效训练目标。</w:t>
            </w:r>
          </w:p>
        </w:tc>
      </w:tr>
      <w:tr>
        <w:tc>
          <w:tcPr>
            <w:tcW w:type="dxa" w:w="25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LowrankModule 是残差 CNN</w:t>
            </w:r>
          </w:p>
        </w:tc>
        <w:tc>
          <w:tcPr>
            <w:tcW w:type="dxa" w:w="318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没有显式 SVT 主路径。</w:t>
            </w:r>
          </w:p>
        </w:tc>
        <w:tc>
          <w:tcPr>
            <w:tcW w:type="dxa" w:w="34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不能直接说 LR_G 等同于低秩近端算子。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SparseModule 用动态卷积处理 W*T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W_LSE 没有直接控制加权软阈值。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加权 l1 稀疏近端的公式与代码不一致。</w:t>
            </w:r>
          </w:p>
        </w:tc>
      </w:tr>
      <w:tr>
        <w:tc>
          <w:tcPr>
            <w:tcW w:type="dxa" w:w="25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结构分支来自原始输入 F</w:t>
            </w:r>
          </w:p>
        </w:tc>
        <w:tc>
          <w:tcPr>
            <w:tcW w:type="dxa" w:w="318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结构图可能仍含目标能量，且没有随 B 的恢复而净化。</w:t>
            </w:r>
          </w:p>
        </w:tc>
        <w:tc>
          <w:tcPr>
            <w:tcW w:type="dxa" w:w="34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WLSE 容易被理解为静态权重组合。</w:t>
            </w:r>
          </w:p>
        </w:tc>
      </w:tr>
      <w:tr>
        <w:tc>
          <w:tcPr>
            <w:tcW w:type="dxa" w:w="25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mu 仅初始化一次</w:t>
            </w:r>
          </w:p>
        </w:tc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若论文给出 mu^(k+1) 更新，代码与公式矛盾。</w:t>
            </w:r>
          </w:p>
        </w:tc>
        <w:tc>
          <w:tcPr>
            <w:tcW w:type="dxa" w:w="34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DV_G/罚参数更新的解释不严谨。</w:t>
            </w:r>
          </w:p>
        </w:tc>
      </w:tr>
    </w:tbl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四、改进方案一：修复分解训练契约（P0）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论据：SCLT 的每个通道都进入明确目标函数，并使用残差检验重建一致性。若 RiRUFold 不返回背景估计且背景损失恒为零，则任何“低秩-稀疏分解”解释都缺少训练层面的支撑。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设计：网络返回最终背景 B^K、目标 S^K 及可选阶段轨迹。使用分解一致性损失 L_dc = ||X - B^K - S^K||_1，以及目标区域外背景损失 L_bg = ||(1-M) ⊙ (B^K-X)||_1。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代码落点：修改 models/RiRFold.py 的 forward 输出；修改 train.py，删除无效的 MSE(out_D, data)，改为 L_seg + beta_dc L_dc + beta_bg L_bg。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/>
          <w:color w:val="1F4D78"/>
          <w:sz w:val="21"/>
        </w:rPr>
        <w:t>验证：在真实测试集上绘制 r^k = ||X-B^k-S^k||_F / ||X||_F；完整模型应比无反馈模型有更低或更稳定的最终残差。若没有该现象，不能把 DV_G 的作用归结为分解一致性。</w:t>
      </w: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五、改进方案二：背景-稀疏协同演化 WLSE（P1，主创新）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论据：附件文章最有价值的启发是“不同信息通道在迭代中反复交换”才构成耦合。现有 W_LS 和 W_SE 的乘积如果只来源于原图和当前特征，容易被审稿人视为已知权重的并列使用。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设计：首先得到 B_avg^(k+1) = (B1^(k+1)+B2^(k+1)+B3^(k+1))/3；再令 W_LS^(k+1)=f_struct(B_avg^(k+1))，W_SE^(k+1)=1/sqrt((S^k)^2+epsilon)，最后 W_LSE^(k+1)=normalize(W_LS^(k+1) ⊙ W_SE^(k+1))。W_LSE 只用于下一次加权稀疏更新。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可写入论文的解释：W_LS 从逐步净化的背景中描述可能引起虚警的局部结构，W_SE 从当前稀疏分量中保留弱目标证据；二者通过阶段状态相互制约，而不是一次性相乘。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/>
          <w:color w:val="1F4D78"/>
          <w:sz w:val="21"/>
        </w:rPr>
        <w:t>验证：固定训练策略，比较 Point-WSE、原图静态 WLS + WSE、背景 WLS + 固定 WSE、背景 WLS + 动态 WSE。重点报告高结构复杂度和低 SCR 子集的 Fa/Pd，而不只比较总体 mIoU。</w:t>
      </w: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六、改进方案三：显式结构张量先验与小规模学习校准（P2）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论据：审稿人质疑局部张量掩码只是已有自适应权重的简单组合。要反驳这一点，W_LS 必须具有可检查的结构来源，而不能完全是一个自由 CNN 输出。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设计：从 B_avg 的梯度构造局部结构张量 J = G_sigma * [[B_x^2, B_xB_y], [B_xB_y, B_y^2]]，再以特征值相干性 c=(lambda_1-lambda_2)/(lambda_1+lambda_2+epsilon) 产生结构惩罚。仅保留斜率、偏置、上下界等少量可学习校准参数。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验证：对比梯度幅值、显式结构张量、自由 CNN 权重；同时给出目标区和背景区的平均权重、权重比、mIoU/F1/Pd/Fa，并扫描 epsilon、平滑尺度和截断范围。</w:t>
      </w:r>
    </w:p>
    <w:tbl>
      <w:tblPr>
        <w:tblW w:type="dxa" w:w="91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风险边界：</w:t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若显式结构张量版本未优于或稳定于自由 CNN，则论文不应再宣称 W_LS 严格来源于结构张量特征值，应改称为“学习到的局部结构估计”。</w:t>
            </w:r>
          </w:p>
        </w:tc>
      </w:tr>
    </w:tbl>
    <w:p>
      <w:pPr>
        <w:spacing w:after="20"/>
      </w:pP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七、改进方案四：近端锚定的学习校正（P3）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论据：意见 2 的核心不是要求所有模块都必须为闭式解，而是要求解释学习层为何属于展开过程。把卷积直接称为 proximal operator 缺乏证据；保留显式近端主路径，再让网络学习有界校正更合理。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设计：低秩主路径为 B_bar^(k+1)=SVT_tau(X-S^k+U^k)；稀疏主路径为 S_bar^(k+1)=Soft(X-B^(k+1)+U^k, lambda_k W_LSE^(k+1)/mu_k)。LR_G 和 SR_G 仅学习校正项，并用 0 到 gamma_max 的门控限制校正幅度。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验证：比较固定 ADMM、纯学习块、近端锚定块；报告指标、参数量、时间、阶段残差、||B-B_bar|| 和 ||S-S_bar||。只有存在显式近端或近端教师监督时，才可称为 proximal-anchored。</w:t>
      </w: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八、改进方案五：残差一致性双变量反馈（P4）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论据：附件文章将 dual variable 作为独立状态，并以原始/对偶残差判断迭代过程。现有 AdaptiveStepGate 有残差输入，但没有残差轨迹，难以证明其不是普通门控。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设计：R^(k+1)=X-B^(k+1)-S^(k+1)，U^(k+1)=U^k+alpha_k ⊙ R^(k+1)，其中 0&lt;alpha_k&lt;=1。论文中称其为“学习的对偶预条件更新”，不要称完全等价的 ADMM dual update。若不实现 mu 更新，应删除所有 mu^(k+1) 公式。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验证：比较无反馈、固定步长对偶更新、受限学习预条件器、可选的残差平衡 mu 调度；用最终残差和曲线稳定性支持反馈作用。</w:t>
      </w: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九、改进方案六：多尺度背景分支赋义（P5，可选）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论据：B1、B2、B3 若没有不同功能，会被看作重复的黑箱分支。单帧 2D 图像也不应把它们硬称为三个 tensor mode。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设计：赋予三个分支不同 dilation 或感受野，分别估计小、中、大尺度背景；以 U_B^k=Var(B1^k,B2^k,B3^k) 描述背景不确定性，并仅用于校准 W_LS 的可靠性。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验证：同尺度分支、多尺度分支、多尺度+不确定性校准的比较。该项属于增强解释性，不应抢占 WLSE 主创新的位置。</w:t>
      </w: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十、实验与论文材料的对应关系</w:t>
      </w:r>
    </w:p>
    <w:tbl>
      <w:tblPr>
        <w:tblStyle w:val="TableGrid"/>
        <w:tblW w:type="dxa" w:w="88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250"/>
        <w:gridCol w:w="4950"/>
        <w:gridCol w:w="162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材料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应展示的内容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回答的问题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SRMT 目标函数与算法</w:t>
            </w:r>
          </w:p>
        </w:tc>
        <w:tc>
          <w:tcPr>
            <w:tcW w:type="dxa" w:w="495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变量定义、W_LSE 的插入位置、状态更新顺序、scaled-dual 约定。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1、2、5</w:t>
            </w:r>
          </w:p>
        </w:tc>
      </w:tr>
      <w:tr>
        <w:tc>
          <w:tcPr>
            <w:tcW w:type="dxa" w:w="225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Fig. 12 网络图</w:t>
            </w:r>
          </w:p>
        </w:tc>
        <w:tc>
          <w:tcPr>
            <w:tcW w:type="dxa" w:w="495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B-&gt;W_LS，S-&gt;W_SE，W_LSE-&gt;加权稀疏更新，残差-&gt;U 的完整箭头。</w:t>
            </w:r>
          </w:p>
        </w:tc>
        <w:tc>
          <w:tcPr>
            <w:tcW w:type="dxa" w:w="16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1、2、5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算子映射表</w:t>
            </w:r>
          </w:p>
        </w:tc>
        <w:tc>
          <w:tcPr>
            <w:tcW w:type="dxa" w:w="495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显式近端锚点、学习校正、输入输出变量及诊断量。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2</w:t>
            </w:r>
          </w:p>
        </w:tc>
      </w:tr>
      <w:tr>
        <w:tc>
          <w:tcPr>
            <w:tcW w:type="dxa" w:w="225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WLSE 消融表</w:t>
            </w:r>
          </w:p>
        </w:tc>
        <w:tc>
          <w:tcPr>
            <w:tcW w:type="dxa" w:w="495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静态/动态、未耦合/耦合、真实训练权重下的结果。</w:t>
            </w:r>
          </w:p>
        </w:tc>
        <w:tc>
          <w:tcPr>
            <w:tcW w:type="dxa" w:w="16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阶段轨迹图</w:t>
            </w:r>
          </w:p>
        </w:tc>
        <w:tc>
          <w:tcPr>
            <w:tcW w:type="dxa" w:w="495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B、S、W_LS、W_SE、W_LSE 和原始/对偶残差。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1、2</w:t>
            </w:r>
          </w:p>
        </w:tc>
      </w:tr>
      <w:tr>
        <w:tc>
          <w:tcPr>
            <w:tcW w:type="dxa" w:w="225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条件分组与敏感性实验</w:t>
            </w:r>
          </w:p>
        </w:tc>
        <w:tc>
          <w:tcPr>
            <w:tcW w:type="dxa" w:w="495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背景结构、SCR、目标尺寸、epsilon/lambda/阶段数/权重扰动。</w:t>
            </w:r>
          </w:p>
        </w:tc>
        <w:tc>
          <w:tcPr>
            <w:tcW w:type="dxa" w:w="1620"/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意见 1、3</w:t>
            </w:r>
          </w:p>
        </w:tc>
      </w:tr>
    </w:tbl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十一、推荐执行顺序与结论边界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1F2937"/>
          <w:sz w:val="20"/>
        </w:rPr>
        <w:t>先修复 P0：使背景输出、分解损失和阶段残差真实存在。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1F2937"/>
          <w:sz w:val="20"/>
        </w:rPr>
        <w:t>实施 P1：用背景条件化 WLS 和显式加权稀疏路径重构 WLSE。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1F2937"/>
          <w:sz w:val="20"/>
        </w:rPr>
        <w:t>训练四个 WLSE 变体，完成真实消融与高结构/低 SCR 分组分析。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1F2937"/>
          <w:sz w:val="20"/>
        </w:rPr>
        <w:t>实施 P4 并导出残差曲线；据此决定是否保留 dual feedback 的强解释。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1F2937"/>
          <w:sz w:val="20"/>
        </w:rPr>
        <w:t>若训练资源允许，再实施 P2 和 P3，形成最强的可解释展开版本。</w:t>
      </w:r>
    </w:p>
    <w:tbl>
      <w:tblPr>
        <w:tblW w:type="dxa" w:w="912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120"/>
      </w:tblGrid>
      <w:t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最终结论边界：</w:t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本轮最可靠的贡献不应写成“提出了全新的重加权原理”或“卷积严格等同近端算子”。更准确的结论是：RiRUFold 在保留低秩、稀疏、掩码和残差状态的前提下，通过背景-稀疏协同演化的结构约束重加权，改善复杂背景下的弱目标提取；其有效范围应由真实的条件化实验决定。</w:t>
            </w:r>
          </w:p>
        </w:tc>
      </w:tr>
    </w:tbl>
    <w:p>
      <w:pPr>
        <w:spacing w:after="20"/>
      </w:pPr>
    </w:p>
    <w:p>
      <w:pPr>
        <w:pStyle w:val="Heading1"/>
        <w:spacing w:before="300" w:after="140" w:line="240" w:lineRule="auto"/>
      </w:pPr>
      <w:r>
        <w:rPr>
          <w:rFonts w:ascii="Calibri" w:hAnsi="Calibri" w:eastAsia="Microsoft YaHei"/>
          <w:b/>
          <w:color w:val="2E74B5"/>
          <w:sz w:val="30"/>
        </w:rPr>
        <w:t>附：可直接用于回复审稿人的简要逻辑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针对意见 1：承认倒数稀疏重加权本身不是新的正则化原则；本文的新增设计在于背景来源的局部结构先验与阶段性稀疏证据在 SRMT 更新中的状态耦合，并通过静态/动态、单独/耦合的真实训练消融验证。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针对意见 2：不再将通用卷积直接等同于近端算子，而是以显式 SVT/加权软阈值作为锚点，学习模块仅完成受限校正；同时报告状态变量和原始/对偶残差，说明反馈分支的优化职责。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针对意见 3：除主表 SOTA 外，补充算子级、机制级、条件化和敏感性实验，明确模型在复杂结构、低 SCR 场景下的有效性边界。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64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Calibri" w:hAnsi="Calibri" w:eastAsia="Microsoft YaHei"/>
        <w:b w:val="0"/>
        <w:color w:val="5B6573"/>
        <w:sz w:val="16"/>
      </w:rPr>
      <w:t>内部研究设计文档 | 待训练验证后方可写入论文结论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88" w:lineRule="auto"/>
      <w:jc w:val="right"/>
    </w:pPr>
    <w:r>
      <w:rPr>
        <w:rFonts w:ascii="Calibri" w:hAnsi="Calibri" w:eastAsia="Microsoft YaHei"/>
        <w:b w:val="0"/>
        <w:color w:val="5B6573"/>
        <w:sz w:val="17"/>
      </w:rPr>
      <w:t>RiRUFold ADMM 展开网络改进方案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