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火车票销售系统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徐悦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</w:t>
            </w:r>
            <w:r>
              <w:rPr>
                <w:rFonts w:ascii="楷体" w:hAnsi="楷体" w:eastAsia="楷体" w:cs="黑体"/>
                <w:sz w:val="32"/>
                <w:szCs w:val="32"/>
              </w:rPr>
              <w:t>018104144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09333F"/>
    <w:rsid w:val="00193477"/>
    <w:rsid w:val="001E750D"/>
    <w:rsid w:val="001F3517"/>
    <w:rsid w:val="002169BC"/>
    <w:rsid w:val="002B2B11"/>
    <w:rsid w:val="00301210"/>
    <w:rsid w:val="004008D7"/>
    <w:rsid w:val="00435637"/>
    <w:rsid w:val="00450748"/>
    <w:rsid w:val="00475C3A"/>
    <w:rsid w:val="0056524A"/>
    <w:rsid w:val="005A4A07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C7999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66C68"/>
    <w:rsid w:val="00C746D6"/>
    <w:rsid w:val="00DE1C53"/>
    <w:rsid w:val="00E93906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E26ED9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44</Words>
  <Characters>255</Characters>
  <Lines>2</Lines>
  <Paragraphs>1</Paragraphs>
  <TotalTime>91</TotalTime>
  <ScaleCrop>false</ScaleCrop>
  <LinksUpToDate>false</LinksUpToDate>
  <CharactersWithSpaces>298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绯色</cp:lastModifiedBy>
  <cp:lastPrinted>2019-01-15T11:51:00Z</cp:lastPrinted>
  <dcterms:modified xsi:type="dcterms:W3CDTF">2021-06-17T10:22:11Z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3255440E08224D59AC71E47C105E0328</vt:lpwstr>
  </property>
</Properties>
</file>