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430E58" w:rsidRDefault="00346AFC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0E58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C73E9" w:rsidRPr="00430E58" w:rsidRDefault="007C73E9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[1] Y.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Luo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Y.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Duan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W. Li, P. Pace, and G.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Fortino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“A novel mobile and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hierarchical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data transmission architecture for smart factories,”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IEEE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Trans. Ind. </w:t>
      </w:r>
      <w:proofErr w:type="spellStart"/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vol. 14, no. 8, pp. 3534–3546, Aug. 2018.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[2] C.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Gavriluta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C.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Boudinet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F.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Kupzog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A. Gomez-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Exposito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and R.</w:t>
      </w:r>
      <w:proofErr w:type="gram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Caire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“Cyber-physical framework for emulating distributed control systems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in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smart grids,”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Int. J. Elect. Power Energy Syst.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114, 2020,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Art. </w:t>
      </w: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no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>. 105375.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[3] M. S.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Mahmoud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M. M.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Hamdan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and U. A.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Baroudi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“Modeling and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control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of cyber-physical systems subject to cyber attacks: A survey of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recent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advances and challenges,”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Neurocomputing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338, pp. 101–115,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2019.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[4] T. Wang, G. Zhang, M. Z. A.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Bhuiyan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A. Liu, W.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Jia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and M.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Xie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“A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novel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trust mechanism based on fog computing in sensor–cloud system,”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Future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Gener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</w:t>
      </w:r>
      <w:proofErr w:type="spellStart"/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Comput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</w:t>
      </w:r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Syst.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109, pp. 573–582, 2020.</w:t>
      </w:r>
      <w:proofErr w:type="gram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[5] K.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Guo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et al., “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MDMaaS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: Medical-assisted diagnosis model as a service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with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artificial intelligence and trust,”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Ind.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16,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no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>. 3, pp. 2102–2114, Mar. 2020.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[6] M. Al-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Hawawreh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and E.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Sitnikova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“Developing a security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testbed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for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industrial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Internet of Things,”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IEEE Internet of Things J.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8, no. 7,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pp. 5558–5573, Apr. 2021.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[7] M. A.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Shahriar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et al., “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Modelling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attacks in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blockchain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systems using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spellStart"/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petri</w:t>
      </w:r>
      <w:proofErr w:type="spellEnd"/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nets,” in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Proc. IEEE 19th Int. Conf. Trust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Secur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. </w:t>
      </w:r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Privacy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Comput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Commun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2020, pp. 1069–1078.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[8] M. Abdel-Basset, V. Chang, H. Hawash, R. K.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Chakrabortty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and M.</w:t>
      </w:r>
      <w:proofErr w:type="gram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Ryan, “Deep-IFS: Intrusion detection approach for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IIoT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traffic in fog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lastRenderedPageBreak/>
        <w:t>environment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Ind.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17, no. 11, pp. 7704–7715,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Nov. 2021.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[9] S. Huda, J.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Abawajy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B. Al-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Rubaie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L. Pan, and M. M. Hassan, “Automatic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extraction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and integration of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behavioural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indicators of malware for protection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of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cyber–physical networks,”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Future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Gener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. </w:t>
      </w:r>
      <w:proofErr w:type="spellStart"/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Comput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Syst.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101,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pp. 1247–1258, 2019.</w:t>
      </w:r>
      <w:proofErr w:type="gram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[10] Information Technology-Security Techniques-Information Security Risk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Management, ISO/IEC 27005:2018, 2018.</w:t>
      </w:r>
      <w:proofErr w:type="gram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[11] X. Yan, Y.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Xu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X. Xing, B. Cui, Z.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Guo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and T.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Guo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“Trustworthy network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anomaly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detection based on an adaptive learning rate and momentum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in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IIoT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Ind.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16, no. 9, pp. 6182–6192,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Sep. 2020.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[12] D. Wu, Z. Jiang, X.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Xie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X. Wei, W. Yu, and R. Li, “LSTM learning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with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Bayesian and Gaussian processing for anomaly detection in industrial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IoT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Ind.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16, no. 8, pp. 5244–5253, Aug. 2020.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[13] N.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Moustafa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and J. Slay, “UNSW-NB15: A comprehensive data set for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network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intrusion detection systems (UNSW-NB15 network data set),” in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Proc. Mil. </w:t>
      </w:r>
      <w:proofErr w:type="spellStart"/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Commun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proofErr w:type="gram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 Inf. Syst. Conf.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2015, pp. 1–6.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[14] M. M. Hassan, A.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Gumaei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S. Huda, and A.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Almogren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“Increasing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the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trustworthiness in the industrial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IoT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networks through a reliable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spellStart"/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cyberattack</w:t>
      </w:r>
      <w:proofErr w:type="spellEnd"/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detection model,”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Ind.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Informat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16, no. 9,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pp. 6154–6162, Sep. 2020.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[15] A. N.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Jahromi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et al., “An improved two-hidden-layer extreme learning machine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for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malware hunting,”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Comput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. </w:t>
      </w:r>
      <w:proofErr w:type="spellStart"/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Secur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vol. 89, 2020, Art. </w:t>
      </w: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no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>. 101655.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[16] S. T. U. Shah, J. Li, Z.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Guo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G. Li, and Q. Zhou, “DDFL: A deep dual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function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learning-based model for recommender systems,” in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 Int.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lastRenderedPageBreak/>
        <w:t>Conf. Database Syst. Adv. Appl.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2020, pp. 590–606.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[17] R. C. B.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Hink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J. M. Beaver, M. A. Buckner, T. Morris, U.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Adhikari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and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S. Pan, “Machine learning for power system disturbance and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cyberattack</w:t>
      </w:r>
      <w:proofErr w:type="spell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discrimination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,” in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Proc. 7th Int.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Symp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. Resilient Control Syst.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2014,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>pp. 1–8.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[18] A.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Derhab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et al., “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Blockchain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and random subspace learning-based IDS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for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SDN-enabled industrial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IoT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security,”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Sensors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19, no. 14, 2019,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Art. </w:t>
      </w: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no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>. 3119.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[19] S. Mehta, R.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Koncel-Kedziorski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M.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Rastegari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and H.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Hajishirzi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“Pyramidal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recurrent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unit for language modeling,” in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Proc. Conf. Empirical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Methods Natural Lang. Process.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2018, pp. 4620–4630.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[20] D. P.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Kingma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and J.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Ba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>, “Adam: A method for stochastic optimization,”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2014,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arXiv</w:t>
      </w:r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:1412.6980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>.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[21] P.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Refaeilzadeh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, L. Tang, and H. Liu, “Cross-validation,”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Encyclopedia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Database Syst.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5, pp. 532–538, 2009.</w:t>
      </w:r>
      <w:proofErr w:type="gramEnd"/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[22] G.W. </w:t>
      </w:r>
      <w:proofErr w:type="spell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Zeoli</w:t>
      </w:r>
      <w:proofErr w:type="spell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and T. S. Fong, “Performance of a two-sample Mann-Whitney</w:t>
      </w:r>
    </w:p>
    <w:p w:rsidR="00430E58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E062E"/>
          <w:sz w:val="28"/>
          <w:szCs w:val="28"/>
        </w:rPr>
      </w:pPr>
      <w:proofErr w:type="gramStart"/>
      <w:r w:rsidRPr="00430E58">
        <w:rPr>
          <w:rFonts w:ascii="Times New Roman" w:hAnsi="Times New Roman" w:cs="Times New Roman"/>
          <w:color w:val="2E062E"/>
          <w:sz w:val="28"/>
          <w:szCs w:val="28"/>
        </w:rPr>
        <w:t>nonparametric</w:t>
      </w:r>
      <w:proofErr w:type="gramEnd"/>
      <w:r w:rsidRPr="00430E58">
        <w:rPr>
          <w:rFonts w:ascii="Times New Roman" w:hAnsi="Times New Roman" w:cs="Times New Roman"/>
          <w:color w:val="2E062E"/>
          <w:sz w:val="28"/>
          <w:szCs w:val="28"/>
        </w:rPr>
        <w:t xml:space="preserve"> detector in a radar application,” </w:t>
      </w: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IEEE Trans. </w:t>
      </w:r>
      <w:proofErr w:type="spell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Aerosp</w:t>
      </w:r>
      <w:proofErr w:type="spellEnd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 xml:space="preserve">. </w:t>
      </w:r>
      <w:proofErr w:type="gramStart"/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Electron.</w:t>
      </w:r>
      <w:proofErr w:type="gramEnd"/>
    </w:p>
    <w:p w:rsidR="00CB3ADD" w:rsidRPr="00430E58" w:rsidRDefault="00430E58" w:rsidP="00430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0E58">
        <w:rPr>
          <w:rFonts w:ascii="Times New Roman" w:hAnsi="Times New Roman" w:cs="Times New Roman"/>
          <w:i/>
          <w:iCs/>
          <w:color w:val="2E062E"/>
          <w:sz w:val="28"/>
          <w:szCs w:val="28"/>
        </w:rPr>
        <w:t>Syst.</w:t>
      </w:r>
      <w:r w:rsidRPr="00430E58">
        <w:rPr>
          <w:rFonts w:ascii="Times New Roman" w:hAnsi="Times New Roman" w:cs="Times New Roman"/>
          <w:color w:val="2E062E"/>
          <w:sz w:val="28"/>
          <w:szCs w:val="28"/>
        </w:rPr>
        <w:t>, vol. AES-7, no. 5, pp. 951–959, Sep. 1971.</w:t>
      </w:r>
    </w:p>
    <w:sectPr w:rsidR="00CB3ADD" w:rsidRPr="00430E58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92416"/>
    <w:rsid w:val="003C0441"/>
    <w:rsid w:val="00430E58"/>
    <w:rsid w:val="004D35B6"/>
    <w:rsid w:val="00547E56"/>
    <w:rsid w:val="00643315"/>
    <w:rsid w:val="006513A4"/>
    <w:rsid w:val="00733124"/>
    <w:rsid w:val="007C73E9"/>
    <w:rsid w:val="00AC73E9"/>
    <w:rsid w:val="00AD12B1"/>
    <w:rsid w:val="00B17AD3"/>
    <w:rsid w:val="00B74B28"/>
    <w:rsid w:val="00B85F9E"/>
    <w:rsid w:val="00C41726"/>
    <w:rsid w:val="00CB3ADD"/>
    <w:rsid w:val="00CF6001"/>
    <w:rsid w:val="00D60817"/>
    <w:rsid w:val="00D74D2D"/>
    <w:rsid w:val="00DD227D"/>
    <w:rsid w:val="00E73908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2023-11-21T15:58:00Z</dcterms:modified>
</cp:coreProperties>
</file>