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620" w:lineRule="exact"/>
        <w:ind w:left="5060" w:hanging="5060" w:hangingChars="1150"/>
        <w:jc w:val="center"/>
        <w:textAlignment w:val="baseline"/>
        <w:rPr>
          <w:rFonts w:ascii="方正小标宋简体" w:hAnsi="Times New Roman" w:eastAsia="方正小标宋简体" w:cs="Times New Roman"/>
          <w:color w:val="000000"/>
          <w:kern w:val="0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color w:val="000000"/>
          <w:kern w:val="0"/>
          <w:sz w:val="44"/>
          <w:szCs w:val="44"/>
        </w:rPr>
        <w:t>中国银河证券迅投PB系统</w:t>
      </w:r>
    </w:p>
    <w:p>
      <w:pPr>
        <w:autoSpaceDE w:val="0"/>
        <w:autoSpaceDN w:val="0"/>
        <w:adjustRightInd w:val="0"/>
        <w:spacing w:line="620" w:lineRule="exact"/>
        <w:ind w:left="5060" w:hanging="5060" w:hangingChars="1150"/>
        <w:jc w:val="center"/>
        <w:textAlignment w:val="baseline"/>
        <w:rPr>
          <w:rFonts w:ascii="方正小标宋简体" w:hAnsi="华文细黑" w:eastAsia="方正小标宋简体" w:cs="宋体"/>
          <w:color w:val="000000"/>
          <w:kern w:val="0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color w:val="000000"/>
          <w:kern w:val="0"/>
          <w:sz w:val="44"/>
          <w:szCs w:val="44"/>
        </w:rPr>
        <w:t>业务测试方案及反馈表</w:t>
      </w:r>
    </w:p>
    <w:p>
      <w:pPr>
        <w:autoSpaceDE w:val="0"/>
        <w:autoSpaceDN w:val="0"/>
        <w:adjustRightInd w:val="0"/>
        <w:snapToGrid w:val="0"/>
        <w:spacing w:line="620" w:lineRule="exact"/>
        <w:jc w:val="left"/>
        <w:textAlignment w:val="baseline"/>
        <w:rPr>
          <w:rFonts w:ascii="宋体" w:hAnsi="Times New Roman" w:eastAsia="宋体" w:cs="Times New Roman"/>
          <w:b/>
          <w:color w:val="000000"/>
          <w:kern w:val="0"/>
          <w:sz w:val="28"/>
          <w:szCs w:val="24"/>
        </w:rPr>
      </w:pPr>
    </w:p>
    <w:p>
      <w:pPr>
        <w:autoSpaceDE w:val="0"/>
        <w:autoSpaceDN w:val="0"/>
        <w:adjustRightInd w:val="0"/>
        <w:spacing w:line="62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一、迅投系统业务测试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1.测试目的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本次测试是在模拟交易环境下，由管理人对迅投PB资产管理平台进行系统交易、风控等业务功能测试，并通过测试确定迅投PB系统是否满足产品上线运营要求。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ascii="仿宋" w:hAnsi="仿宋" w:eastAsia="仿宋" w:cs="Times New Roman"/>
          <w:color w:val="000000"/>
          <w:kern w:val="0"/>
          <w:sz w:val="32"/>
          <w:szCs w:val="32"/>
        </w:rPr>
        <w:t>2</w:t>
      </w: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.测试方法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采用手动测试方法，对系统相关进行黑盒测试。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ascii="仿宋" w:hAnsi="仿宋" w:eastAsia="仿宋" w:cs="Times New Roman"/>
          <w:color w:val="000000"/>
          <w:kern w:val="0"/>
          <w:sz w:val="32"/>
          <w:szCs w:val="32"/>
        </w:rPr>
        <w:t>3</w:t>
      </w: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.测试要点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根据迅投资产管理平台真实的功能与性能指标，逐条设计测试需求及完成该测试需求的测试过程、测试条件、测试标准。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ascii="仿宋" w:hAnsi="仿宋" w:eastAsia="仿宋" w:cs="Times New Roman"/>
          <w:color w:val="000000"/>
          <w:kern w:val="0"/>
          <w:sz w:val="32"/>
          <w:szCs w:val="32"/>
        </w:rPr>
        <w:t>4</w:t>
      </w: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.测试执行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此次测试严格按照测试计划和测试用例执行，按时完成了测试计划和测试用例中规定的测试对象的测试。在测试执行过程中，依据测试计划和测试用例，对系统相关功能进行完整的测试。</w:t>
      </w:r>
    </w:p>
    <w:p>
      <w:pPr>
        <w:autoSpaceDE w:val="0"/>
        <w:autoSpaceDN w:val="0"/>
        <w:adjustRightInd w:val="0"/>
        <w:spacing w:after="156" w:afterLines="50" w:line="62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二、测试案例</w:t>
      </w:r>
    </w:p>
    <w:tbl>
      <w:tblPr>
        <w:tblStyle w:val="3"/>
        <w:tblW w:w="101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426"/>
        <w:gridCol w:w="1242"/>
        <w:gridCol w:w="1559"/>
        <w:gridCol w:w="851"/>
        <w:gridCol w:w="850"/>
        <w:gridCol w:w="851"/>
        <w:gridCol w:w="992"/>
        <w:gridCol w:w="1134"/>
        <w:gridCol w:w="16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101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测试功能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测试内容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预期结果</w:t>
            </w:r>
          </w:p>
        </w:tc>
        <w:tc>
          <w:tcPr>
            <w:tcW w:w="4678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实际结果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测试结果</w:t>
            </w: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8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委托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成交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委托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价格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成交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交易系统</w:t>
            </w: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股票交易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股票买入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下单成功，消息指令任务正常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300100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2000.00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18.85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37700.00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股票卖出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下单成功，消息指令任务正常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300100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1000.00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19.05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19157.00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债券买入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债券卖出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质押入库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质押出库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逆回购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正回购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分级基金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子基金同买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子基金同卖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母基金分拆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母基金合并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母基金申购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母基金赎回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ETF申赎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成分股买入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成分股卖出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申购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赎回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融资融券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证券买入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证券卖出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融资买入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融券卖出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买券还券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卖券还款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直接还券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直接还款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新三板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限价买入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限价卖出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定价买入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定价卖出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确认买入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确认卖出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互报确认买入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互报确认卖出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沪港通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不进行港股买卖，故未测试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不进行港股买卖，故未测试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零股卖出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不进行港股买卖，故未测试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股票期权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买入开仓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卖出开仓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买入平仓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卖出平仓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备兑开仓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备兑平仓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行权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锁定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解锁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期货交易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股指期货开多/空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国债期货开多/空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商品期货开多/空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平今多/空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平昨多/空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期货展期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期货套利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普通交易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算法交易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差价止盈止损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组合交易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组合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大篮子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不进行组合交易，故未测试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按合约价值套利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不进行组合交易，故未测试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现货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/期货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按固定金额套利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不进行组合交易，故未测试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现货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/期货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撤单测试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指令撤单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委托撤单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数据查询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查询委托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查询成功，委托数据正确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查询成功，成交数据正确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查询持仓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查询成功，持仓数据正确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查询资金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查询成功，资金数据正确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风控系统</w:t>
            </w: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账户层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股票黑白名单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黑名单中代码禁止交易（风控驳回并且未生成任务），白名单中代码可以正常下单，符合预期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股票交易合规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股票资产比例风控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期货黑白名单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黑名单中代码禁止交易（风控驳回并且未生成任务），白名单中代码可以正常下单，符合预期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期货交易合规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当前指令完成时，达到报警阈值，风控未驳回，成交并且触发报警消息，符合预期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期货资产比例风控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产品层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产品止损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交易范围限制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设置为禁止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股买入，下单交易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股风控驳回，符合预期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交易量价限制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资产比例风控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全局层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全局黑白名单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账号组反向、对敲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账号组比例风控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风控审批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审批通过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保存成功，并且风控生效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审批驳回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保存成功，并且风控不生效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数据管理</w:t>
            </w:r>
          </w:p>
        </w:tc>
        <w:tc>
          <w:tcPr>
            <w:tcW w:w="124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风控模板创建并应用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保存后可正常应用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保存后可以应用审批通过后生效，符合预期</w:t>
            </w:r>
          </w:p>
        </w:tc>
        <w:tc>
          <w:tcPr>
            <w:tcW w:w="16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添加证券分类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保存后可正常查询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保存后可以查询更改并应用，符合预期</w:t>
            </w:r>
          </w:p>
        </w:tc>
        <w:tc>
          <w:tcPr>
            <w:tcW w:w="16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产品自动执行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产品管理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勾选产品管理中权限设置，并勾选下单自动执行。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勾选后继续勾选客户端自动执行，成功触发，结果正确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成功触发，并且指令自动执行，符合预期</w:t>
            </w:r>
          </w:p>
        </w:tc>
        <w:tc>
          <w:tcPr>
            <w:tcW w:w="16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  <w:bookmarkStart w:id="0" w:name="_GoBack"/>
            <w:bookmarkEnd w:id="0"/>
          </w:p>
        </w:tc>
      </w:tr>
    </w:tbl>
    <w:p>
      <w:pPr>
        <w:autoSpaceDE w:val="0"/>
        <w:autoSpaceDN w:val="0"/>
        <w:adjustRightInd w:val="0"/>
        <w:spacing w:line="57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三、测试结论</w:t>
      </w:r>
    </w:p>
    <w:p>
      <w:pPr>
        <w:autoSpaceDE w:val="0"/>
        <w:autoSpaceDN w:val="0"/>
        <w:adjustRightInd w:val="0"/>
        <w:spacing w:line="57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1.测试范围：■证券业务  □期货业务  □融资融券  □沪港通  □新三板  □ETF申赎  □股票期权：对接____________期货系统。</w:t>
      </w:r>
    </w:p>
    <w:p>
      <w:pPr>
        <w:autoSpaceDE w:val="0"/>
        <w:autoSpaceDN w:val="0"/>
        <w:adjustRightInd w:val="0"/>
        <w:spacing w:line="57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2.本次测试测试结果与预期相符，系统交易、风控、数据查询等各项功能够达到我司产品上线运营的要求，请中国银河证券股份有限公司开通生产环境，允许我司产品上线。</w:t>
      </w:r>
    </w:p>
    <w:p>
      <w:pPr>
        <w:autoSpaceDE w:val="0"/>
        <w:autoSpaceDN w:val="0"/>
        <w:adjustRightInd w:val="0"/>
        <w:spacing w:line="570" w:lineRule="exact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70" w:lineRule="exact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70" w:lineRule="exact"/>
        <w:ind w:right="640" w:firstLine="4176" w:firstLineChars="13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24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管理人（公章）：           </w:t>
      </w:r>
    </w:p>
    <w:p>
      <w:pPr>
        <w:autoSpaceDE w:val="0"/>
        <w:autoSpaceDN w:val="0"/>
        <w:adjustRightInd w:val="0"/>
        <w:ind w:firstLine="3213" w:firstLineChars="10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24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         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  <w:lang w:val="en-US" w:eastAsia="zh-CN"/>
        </w:rPr>
        <w:t>2018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年  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  <w:lang w:val="en-US" w:eastAsia="zh-CN"/>
        </w:rPr>
        <w:t>4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月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  <w:lang w:val="en-US" w:eastAsia="zh-CN"/>
        </w:rPr>
        <w:t xml:space="preserve"> 2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日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B1"/>
    <w:rsid w:val="00707E64"/>
    <w:rsid w:val="00993FB1"/>
    <w:rsid w:val="29BF32DF"/>
    <w:rsid w:val="418F38FC"/>
    <w:rsid w:val="73A2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716</Words>
  <Characters>4082</Characters>
  <Lines>34</Lines>
  <Paragraphs>9</Paragraphs>
  <ScaleCrop>false</ScaleCrop>
  <LinksUpToDate>false</LinksUpToDate>
  <CharactersWithSpaces>4789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2017-04-28T02:47:00Z</dcterms:created>
  <dc:creator>葛玉菡</dc:creator>
  <cp:lastModifiedBy>刘站辉-聚石屹</cp:lastModifiedBy>
  <dcterms:modified xsi:type="dcterms:W3CDTF">2018-04-03T09:09:43Z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