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200"/>
        <w:jc w:val="center"/>
      </w:pPr>
      <w:r>
        <w:rPr>
          <w:rFonts w:ascii="Arial" w:cs="Arial" w:eastAsia="Arial" w:hAnsi="Arial"/>
          <w:color w:val="888888"/>
          <w:sz w:val="28"/>
          <w:szCs w:val="28"/>
        </w:rPr>
        <w:t xml:space="preserve">MSPR Bloc 3 — Projet EDF</w:t>
      </w:r>
    </w:p>
    <w:p>
      <w:pPr>
        <w:spacing w:after="200"/>
        <w:jc w:val="center"/>
      </w:pPr>
      <w:r>
        <w:rPr>
          <w:rFonts w:ascii="Arial" w:cs="Arial" w:eastAsia="Arial" w:hAnsi="Arial"/>
          <w:b/>
          <w:bCs/>
          <w:color w:val="1F4E79"/>
          <w:sz w:val="52"/>
          <w:szCs w:val="52"/>
        </w:rPr>
        <w:t xml:space="preserve">Livrable 3</w:t>
      </w:r>
    </w:p>
    <w:p>
      <w:pPr>
        <w:spacing w:after="100"/>
        <w:jc w:val="center"/>
      </w:pPr>
      <w:r>
        <w:rPr>
          <w:rFonts w:ascii="Arial" w:cs="Arial" w:eastAsia="Arial" w:hAnsi="Arial"/>
          <w:b/>
          <w:bCs/>
          <w:color w:val="2E75B6"/>
          <w:sz w:val="36"/>
          <w:szCs w:val="36"/>
        </w:rPr>
        <w:t xml:space="preserve">Plan d'Accompagnement du Changement</w:t>
      </w:r>
    </w:p>
    <w:p>
      <w:pPr>
        <w:spacing w:after="400"/>
        <w:jc w:val="center"/>
      </w:pPr>
      <w:r>
        <w:rPr>
          <w:rFonts w:ascii="Arial" w:cs="Arial" w:eastAsia="Arial" w:hAnsi="Arial"/>
          <w:b/>
          <w:bCs/>
          <w:color w:val="2E75B6"/>
          <w:sz w:val="36"/>
          <w:szCs w:val="36"/>
        </w:rPr>
        <w:t xml:space="preserve">&amp; Bonne Utilisation de l'IA</w:t>
      </w:r>
    </w:p>
    <w:p>
      <w:pPr>
        <w:spacing w:after="600"/>
        <w:jc w:val="center"/>
      </w:pPr>
      <w:r>
        <w:rPr>
          <w:rFonts w:ascii="Arial" w:cs="Arial" w:eastAsia="Arial" w:hAnsi="Arial"/>
          <w:i/>
          <w:iCs/>
          <w:color w:val="555555"/>
          <w:sz w:val="22"/>
          <w:szCs w:val="22"/>
        </w:rPr>
        <w:t xml:space="preserve">Déploiement de la solution IA de prédiction de consommation électrique — EDF</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Imed Eddine Zeroual, Arthur Méry, Martin Dié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EPSI — Chef de Projet Expert en IA (RNCP36582)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Juin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EDF — Direction R&amp;D</w:t>
            </w:r>
          </w:p>
        </w:tc>
      </w:tr>
    </w:tbl>
    <w:p>
      <w:r>
        <w:br w:type="page"/>
      </w:r>
    </w:p>
    <w:p>
      <w:pPr>
        <w:pStyle w:val="Heading1"/>
        <w:shd w:fill="1F4E79" w:val="clear"/>
        <w:spacing w:after="200" w:before="360"/>
        <w:ind w:left="120" w:right="120"/>
      </w:pPr>
      <w:r>
        <w:rPr>
          <w:rFonts w:ascii="Arial" w:cs="Arial" w:eastAsia="Arial" w:hAnsi="Arial"/>
          <w:b/>
          <w:bCs/>
          <w:color w:val="FFFFFF"/>
          <w:sz w:val="28"/>
          <w:szCs w:val="28"/>
        </w:rPr>
        <w:t xml:space="preserve">1. Introduction</w:t>
      </w:r>
    </w:p>
    <w:p>
      <w:pPr>
        <w:spacing w:after="120"/>
      </w:pPr>
      <w:r>
        <w:rPr>
          <w:rFonts w:ascii="Arial" w:cs="Arial" w:eastAsia="Arial" w:hAnsi="Arial"/>
          <w:sz w:val="22"/>
          <w:szCs w:val="22"/>
        </w:rPr>
        <w:t xml:space="preserve">Ce document constitue le Livrable 3 du projet MSPR Bloc 3, consacré à la conduite du changement lors du déploiement de la solution IA de prédiction de consommation électrique développée pour EDF.</w:t>
      </w:r>
    </w:p>
    <w:p>
      <w:pPr>
        <w:spacing w:after="120"/>
      </w:pPr>
      <w:r>
        <w:t xml:space="preserve"/>
      </w:r>
    </w:p>
    <w:p>
      <w:pPr>
        <w:spacing w:after="120"/>
      </w:pPr>
      <w:r>
        <w:rPr>
          <w:rFonts w:ascii="Arial" w:cs="Arial" w:eastAsia="Arial" w:hAnsi="Arial"/>
          <w:sz w:val="22"/>
          <w:szCs w:val="22"/>
        </w:rPr>
        <w:t xml:space="preserve">Le déploiement d'une solution d'intelligence artificielle dans un grand groupe industriel comme EDF ne se résume pas à une mise en production technique. Il implique une transformation des pratiques de travail, une adaptation des processus existants et l'adhésion des utilisateurs finaux. Sans accompagnement, même la meilleure solution technique risque d'être mal utilisée, sous-exploitée, ou rejetée.</w:t>
      </w:r>
    </w:p>
    <w:p>
      <w:pPr>
        <w:spacing w:after="120"/>
      </w:pPr>
      <w:r>
        <w:t xml:space="preserve"/>
      </w:r>
    </w:p>
    <w:p>
      <w:pPr>
        <w:spacing w:after="120"/>
      </w:pPr>
      <w:r>
        <w:rPr>
          <w:rFonts w:ascii="Arial" w:cs="Arial" w:eastAsia="Arial" w:hAnsi="Arial"/>
          <w:sz w:val="22"/>
          <w:szCs w:val="22"/>
        </w:rPr>
        <w:t xml:space="preserve">Ce livrable est structuré en trois parties :</w:t>
      </w:r>
    </w:p>
    <w:p>
      <w:pPr>
        <w:pStyle w:val="ListParagraph"/>
        <w:numPr>
          <w:ilvl w:val="0"/>
          <w:numId w:val="2"/>
        </w:numPr>
        <w:spacing w:after="80"/>
      </w:pPr>
      <w:r>
        <w:rPr>
          <w:rFonts w:ascii="Arial" w:cs="Arial" w:eastAsia="Arial" w:hAnsi="Arial"/>
          <w:sz w:val="22"/>
          <w:szCs w:val="22"/>
        </w:rPr>
        <w:t xml:space="preserve">Analyse d'impact : évaluation des effets du déploiement IA sur les processus EDF existants</w:t>
      </w:r>
    </w:p>
    <w:p>
      <w:pPr>
        <w:pStyle w:val="ListParagraph"/>
        <w:numPr>
          <w:ilvl w:val="0"/>
          <w:numId w:val="2"/>
        </w:numPr>
        <w:spacing w:after="80"/>
      </w:pPr>
      <w:r>
        <w:rPr>
          <w:rFonts w:ascii="Arial" w:cs="Arial" w:eastAsia="Arial" w:hAnsi="Arial"/>
          <w:sz w:val="22"/>
          <w:szCs w:val="22"/>
        </w:rPr>
        <w:t xml:space="preserve">Stratégie d'accompagnement du changement : plan d'action structuré pour faciliter l'adoption</w:t>
      </w:r>
    </w:p>
    <w:p>
      <w:pPr>
        <w:pStyle w:val="ListParagraph"/>
        <w:numPr>
          <w:ilvl w:val="0"/>
          <w:numId w:val="2"/>
        </w:numPr>
        <w:spacing w:after="80"/>
      </w:pPr>
      <w:r>
        <w:rPr>
          <w:rFonts w:ascii="Arial" w:cs="Arial" w:eastAsia="Arial" w:hAnsi="Arial"/>
          <w:sz w:val="22"/>
          <w:szCs w:val="22"/>
        </w:rPr>
        <w:t xml:space="preserve">Kit de bonne utilisation de l'IA : guide pratique, check-list et outils Lean pour les utilisateurs finaux</w:t>
      </w:r>
    </w:p>
    <w:p>
      <w:pPr>
        <w:spacing w:after="120"/>
      </w:pPr>
      <w:r>
        <w:t xml:space="preserve"/>
      </w:r>
    </w:p>
    <w:p>
      <w:pPr>
        <w:pStyle w:val="Heading1"/>
        <w:shd w:fill="1F4E79" w:val="clear"/>
        <w:spacing w:after="200" w:before="360"/>
        <w:ind w:left="120" w:right="120"/>
      </w:pPr>
      <w:r>
        <w:rPr>
          <w:rFonts w:ascii="Arial" w:cs="Arial" w:eastAsia="Arial" w:hAnsi="Arial"/>
          <w:b/>
          <w:bCs/>
          <w:color w:val="FFFFFF"/>
          <w:sz w:val="28"/>
          <w:szCs w:val="28"/>
        </w:rPr>
        <w:t xml:space="preserve">2. Analyse d'Impact du Déploiement IA</w:t>
      </w:r>
    </w:p>
    <w:p>
      <w:pPr>
        <w:pStyle w:val="Heading2"/>
        <w:pBdr>
          <w:bottom w:val="single" w:color="2E75B6" w:sz="4"/>
        </w:pBdr>
        <w:spacing w:after="150" w:before="300"/>
      </w:pPr>
      <w:r>
        <w:rPr>
          <w:rFonts w:ascii="Arial" w:cs="Arial" w:eastAsia="Arial" w:hAnsi="Arial"/>
          <w:b/>
          <w:bCs/>
          <w:color w:val="2E75B6"/>
          <w:sz w:val="26"/>
          <w:szCs w:val="26"/>
        </w:rPr>
        <w:t xml:space="preserve">2.1 Cartographie des parties prenantes</w:t>
      </w:r>
    </w:p>
    <w:p>
      <w:pPr>
        <w:spacing w:after="120"/>
      </w:pPr>
      <w:r>
        <w:rPr>
          <w:rFonts w:ascii="Arial" w:cs="Arial" w:eastAsia="Arial" w:hAnsi="Arial"/>
          <w:sz w:val="22"/>
          <w:szCs w:val="22"/>
        </w:rPr>
        <w:t xml:space="preserve">Les parties prenantes du déploiement ont été identifiées selon leur proximité avec la solution et leur niveau d'impact attendu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Partie prenante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 / Profil</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du déploiement</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Niveau d'implication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Opérateurs réseau EDF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Utilisateurs directs de l'API de prédiction pour la gestion du mix énergétique quotidien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 — changement des outils de travail quotidiens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Analystes data EDF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Interprètent les prédictions et alimentent les décisions de planification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 — nouveau flux de données à intégrer</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 R&amp;D EDF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Sponsor du projet, valide les résultats et décide de la mise en production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 — supervision et validation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Équipe IT / Infrastructure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Gère le déploiement technique, les serveurs et la sécurité</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 — nouvelle solution à intégrer au SI existant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Fort (technique)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projet MSPR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Développeurs et architectes de la solution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 rôle de support après livraison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(post-livraison)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Partenaires RTE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Fournisseur des données éCO2mix utilisées par le modèle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Faible — pas de changement de leur côté</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Minimal</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2.2 Analyse des impacts sur les processus existants</w:t>
      </w:r>
    </w:p>
    <w:p>
      <w:pPr>
        <w:pStyle w:val="Heading3"/>
        <w:spacing w:after="100" w:before="200"/>
      </w:pPr>
      <w:r>
        <w:rPr>
          <w:rFonts w:ascii="Arial" w:cs="Arial" w:eastAsia="Arial" w:hAnsi="Arial"/>
          <w:b/>
          <w:bCs/>
          <w:color w:val="C55A11"/>
          <w:sz w:val="24"/>
          <w:szCs w:val="24"/>
        </w:rPr>
        <w:t xml:space="preserve">2.2.1 Processus impactés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12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Processus EDF</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 actuelle (AS-IS)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 cible (TO-BE)</w:t>
            </w:r>
          </w:p>
        </w:tc>
        <w:tc>
          <w:tcPr>
            <w:tcW w:type="dxa" w:w="1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Niveau d'impact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Prévision de consommation journalière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Utilisation de la prévision officielle RTE J-1 comme référence principale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Enrichissement par les prédictions ML — comparaison systématique avec benchmark RTE J-1</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du mix énergétique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Ajustements basés sur des données empiriques et l'expérience des opérateurs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Décisions assistées par les prédictions IA — l'opérateur reste décideur final</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Planification des capacités de production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Planification hebdomadaire basée sur historiques et météo manuelle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des prédictions J+1 à J+7 dans les outils de planification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des incidents réseau</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Détection réactive basée sur les métriques temps réel (compteurs Linky)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Anticipation grâce aux alertes de dérive du modèle (Grafana + Prometheus)</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Faible à moyen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et indicateurs de performance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Tableaux de bord classiques consommation réelle vs prévision 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d'indicateurs de qualité IA (R², MAPE, drift) dans les reportings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w:t>
            </w:r>
          </w:p>
        </w:tc>
      </w:tr>
    </w:tbl>
    <w:p>
      <w:pPr>
        <w:spacing w:after="120"/>
      </w:pPr>
      <w:r>
        <w:t xml:space="preserve"/>
      </w:r>
    </w:p>
    <w:p>
      <w:pPr>
        <w:pStyle w:val="Heading3"/>
        <w:spacing w:after="100" w:before="200"/>
      </w:pPr>
      <w:r>
        <w:rPr>
          <w:rFonts w:ascii="Arial" w:cs="Arial" w:eastAsia="Arial" w:hAnsi="Arial"/>
          <w:b/>
          <w:bCs/>
          <w:color w:val="C55A11"/>
          <w:sz w:val="24"/>
          <w:szCs w:val="24"/>
        </w:rPr>
        <w:t xml:space="preserve">2.2.2 Risques humains et organisationnels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300"/>
        <w:gridCol w:w="1100"/>
        <w:gridCol w:w="24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Mesure de 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Résistance au changement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opérateurs habitués à la prévision RTE J-1 pourraient rejeter la nouvelle solution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 ciblée, démonstration de valeur ajoutée, adoption progressive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Surconfiance dans l'IA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 utilisateurs pourraient suivre aveuglément les prédictions sans analyse critique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Check-list d'utilisation responsable, formation obligatoire sur les limites de l'IA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Dépendance technologique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cas de panne API, les équipes ne savent plus travailler sans la prédiction 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Procédure de fallback documentée — retour à la prévision RTE J-1 si API indisponible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Compétences insuffisantes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Les équipes n'ont pas les bases pour interpréter les métriques ML (R², MAPE)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de formation adaptées au profil non-technique des utilisateurs finaux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Interprétation incorrecte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mauvaise compréhension des prédictions peut mener à de mauvaises décisions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 d'interprétation inclus dans le kit de bonne utilisation</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2.3 Bénéfices attendus du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Bénéfice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 de mesure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Amélioration de la précision des prévisions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modèles ML surpassent la baseline RTE J-1 (MAPE inférieur d'au moins 10%)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 — comparaison ML vs RTE J-1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Optimisation du mix énergétique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Réduction des activations inutiles de centrales thermiques grâce à une meilleure anticipation</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Réduction des écarts production/consommation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Réduction des émissions CO2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Moins de recours aux centrales thermiques de pointe, plus polluantes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CO2 moyen de la production (données RTE)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Automatisation du processus de prévision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L'API remplace une partie du travail manuel d'analyse des données historiques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Temps économisé par les analystes (estimation : 1h/jour)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Capitalisation sur la donnée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Valorisation des 2 années de données RTE éCO2mix historiques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décisions basées sur les prédictions ML</w:t>
            </w:r>
          </w:p>
        </w:tc>
      </w:tr>
    </w:tbl>
    <w:p>
      <w:pPr>
        <w:spacing w:after="120"/>
      </w:pPr>
      <w:r>
        <w:t xml:space="preserve"/>
      </w:r>
    </w:p>
    <w:p>
      <w:pPr>
        <w:pStyle w:val="Heading1"/>
        <w:shd w:fill="1F4E79" w:val="clear"/>
        <w:spacing w:after="200" w:before="360"/>
        <w:ind w:left="120" w:right="120"/>
      </w:pPr>
      <w:r>
        <w:rPr>
          <w:rFonts w:ascii="Arial" w:cs="Arial" w:eastAsia="Arial" w:hAnsi="Arial"/>
          <w:b/>
          <w:bCs/>
          <w:color w:val="FFFFFF"/>
          <w:sz w:val="28"/>
          <w:szCs w:val="28"/>
        </w:rPr>
        <w:t xml:space="preserve">3. Stratégie d'Accompagnement du Changement</w:t>
      </w:r>
    </w:p>
    <w:p>
      <w:pPr>
        <w:pStyle w:val="Heading2"/>
        <w:pBdr>
          <w:bottom w:val="single" w:color="2E75B6" w:sz="4"/>
        </w:pBdr>
        <w:spacing w:after="150" w:before="300"/>
      </w:pPr>
      <w:r>
        <w:rPr>
          <w:rFonts w:ascii="Arial" w:cs="Arial" w:eastAsia="Arial" w:hAnsi="Arial"/>
          <w:b/>
          <w:bCs/>
          <w:color w:val="2E75B6"/>
          <w:sz w:val="26"/>
          <w:szCs w:val="26"/>
        </w:rPr>
        <w:t xml:space="preserve">3.1 Principes directeurs</w:t>
      </w:r>
    </w:p>
    <w:p>
      <w:pPr>
        <w:spacing w:after="120"/>
      </w:pPr>
      <w:r>
        <w:rPr>
          <w:rFonts w:ascii="Arial" w:cs="Arial" w:eastAsia="Arial" w:hAnsi="Arial"/>
          <w:sz w:val="22"/>
          <w:szCs w:val="22"/>
        </w:rPr>
        <w:t xml:space="preserve">La stratégie d'accompagnement s'appuie sur quatre principes fondamentaux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Progressivité</w:t>
            </w:r>
          </w:p>
        </w:tc>
        <w:tc>
          <w:tcPr>
            <w:tcW w:type="dxa" w:w="2256"/>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Transparence</w:t>
            </w:r>
          </w:p>
        </w:tc>
        <w:tc>
          <w:tcPr>
            <w:tcW w:type="dxa" w:w="2257"/>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Implication</w:t>
            </w:r>
          </w:p>
        </w:tc>
        <w:tc>
          <w:tcPr>
            <w:tcW w:type="dxa" w:w="2257"/>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Amélioration continue</w:t>
            </w:r>
          </w:p>
        </w:tc>
      </w:tr>
      <w:tr>
        <w:tc>
          <w:tcPr>
            <w:tcW w:type="dxa" w:w="225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Déploiement par phases pour laisser le temps à chaque équipe de s'adapter</w:t>
            </w:r>
          </w:p>
        </w:tc>
        <w:tc>
          <w:tcPr>
            <w:tcW w:type="dxa" w:w="225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Communiquer clairement sur les limites et incertitudes du modèle IA</w:t>
            </w:r>
          </w:p>
        </w:tc>
        <w:tc>
          <w:tcPr>
            <w:tcW w:type="dxa" w:w="2257"/>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Associer les utilisateurs finaux dès la phase de test et de validation</w:t>
            </w:r>
          </w:p>
        </w:tc>
        <w:tc>
          <w:tcPr>
            <w:tcW w:type="dxa" w:w="2257"/>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Collecter les retours d'usage pour améliorer la solution en continu</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3.2 Plan d'action — Phases de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800"/>
        <w:gridCol w:w="1800"/>
        <w:gridCol w:w="15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Sensibilisation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J-30 avant déploiement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Présentation du projet aux équipes concernées, communication sur les objectifs et bénéfices attendus, levée des craintes initiales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Imed Eddine Zeroual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de présentation, FAQ initiale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Formation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J-14 avant déploiement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de formation sur l'API (usage, interprétation des résultats, reconnaissance des limites), test en conditions réelles avec les opérateurs pilotes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Arthur Méry / Martin Dié</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 utilisateur v1, support de formation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Déploiement pilote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J-0 à J+14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en service auprès d'un groupe pilote restreint (2-3 opérateurs), collecte intensive des retours, support renforcé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Imed Eddine Zeroual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de retours pilote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Généralisation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J+15 à J+30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Extension à toutes les équipes concernées, mise à disposition du kit de bonne utilisation, canal de support ouvert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Équipe complète</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Kit de bonne utilisation finalisé, channel Teams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Suivi continu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J+30 et au-delà (mensuel)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mensuelle des retours via formulaire, réunion de revue d'usage, mise à jour du kit et de la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Imed Eddine Zeroual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mensuel, fiche A3 mise à jour</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3.3 Plan de communication</w:t>
      </w:r>
    </w:p>
    <w:p>
      <w:pPr>
        <w:spacing w:after="120"/>
      </w:pPr>
      <w:r>
        <w:rPr>
          <w:rFonts w:ascii="Arial" w:cs="Arial" w:eastAsia="Arial" w:hAnsi="Arial"/>
          <w:sz w:val="22"/>
          <w:szCs w:val="22"/>
        </w:rPr>
        <w:t xml:space="preserve">La communication est un pilier central de la conduite du changement. Le plan suivant décrit les actions de communication par cible et par canal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1700"/>
        <w:gridCol w:w="1626"/>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 clé</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 EDF / Sponsors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Avancement du projet, résultats des tests, ROI attendu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présentation formelle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Bi-mensuel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Martin Dié</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Opérateurs réseau</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Comment utiliser l'API, quand lui faire confiance, que faire en cas d'anomalie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 en présentiel + guide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Avant déploiement + mensuel</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technique, prérequis d'intégration, procédures de maintenance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technique + runbook (Livrable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Avant déploiement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Arthur Méry</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les utilisateurs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Nouveautés, améliorations, incidents résolus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Newsletter mensuelle + canal Teams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Mensuel</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Imed</w:t>
            </w:r>
          </w:p>
        </w:tc>
      </w:tr>
    </w:tbl>
    <w:p>
      <w:pPr>
        <w:spacing w:after="120"/>
      </w:pPr>
      <w:r>
        <w:t xml:space="preserve"/>
      </w:r>
    </w:p>
    <w:p>
      <w:pPr>
        <w:pBdr>
          <w:left w:val="single" w:color="2E75B6" w:sz="12"/>
        </w:pBdr>
        <w:shd w:fill="D6E4F0" w:val="clear"/>
        <w:spacing w:after="120" w:before="120"/>
        <w:ind w:left="360" w:right="360"/>
      </w:pPr>
      <w:r>
        <w:rPr>
          <w:rFonts w:ascii="Arial" w:cs="Arial" w:eastAsia="Arial" w:hAnsi="Arial"/>
          <w:i/>
          <w:iCs/>
          <w:sz w:val="21"/>
          <w:szCs w:val="21"/>
        </w:rPr>
        <w:t xml:space="preserve">Canal Teams dédié recommandé : #edf-prediction-ia — règles de fonctionnement : réponse sous 24h, escalade automatique au responsable technique si non résolu sous 48h.</w:t>
      </w:r>
    </w:p>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3.4 Indicateurs de succès de la conduite du changement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5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Cible à J+90</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d'adoption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 opérateurs utilisant l'API au moins 3 fois/semaine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API / Prometheus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Satisfaction utilisateurs (NPS)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NPS collecté via formulaire mensuel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+30</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Formulaire Google Forms / Teams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tickets 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Incidents remontés via le canal Teams ou formulaire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par semaine à J+90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Registre d'incidents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conformité à la check-list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de requêtes API précédées d'une vérification (audit spot)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90%</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trimestriel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Réduction des erreurs de décision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d'activations de centrales non nécessaires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Réduction de 10% vs baseline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 réseau EDF</w:t>
            </w:r>
          </w:p>
        </w:tc>
      </w:tr>
    </w:tbl>
    <w:p>
      <w:pPr>
        <w:spacing w:after="120"/>
      </w:pPr>
      <w:r>
        <w:t xml:space="preserve"/>
      </w:r>
    </w:p>
    <w:p>
      <w:pPr>
        <w:pStyle w:val="Heading1"/>
        <w:shd w:fill="1F4E79" w:val="clear"/>
        <w:spacing w:after="200" w:before="360"/>
        <w:ind w:left="120" w:right="120"/>
      </w:pPr>
      <w:r>
        <w:rPr>
          <w:rFonts w:ascii="Arial" w:cs="Arial" w:eastAsia="Arial" w:hAnsi="Arial"/>
          <w:b/>
          <w:bCs/>
          <w:color w:val="FFFFFF"/>
          <w:sz w:val="28"/>
          <w:szCs w:val="28"/>
        </w:rPr>
        <w:t xml:space="preserve">4. Kit de Bonne Utilisation de l'IA</w:t>
      </w:r>
    </w:p>
    <w:p>
      <w:pPr>
        <w:spacing w:after="120"/>
      </w:pPr>
      <w:r>
        <w:rPr>
          <w:rFonts w:ascii="Arial" w:cs="Arial" w:eastAsia="Arial" w:hAnsi="Arial"/>
          <w:sz w:val="22"/>
          <w:szCs w:val="22"/>
        </w:rPr>
        <w:t xml:space="preserve">Ce kit est destiné aux utilisateurs finaux de la solution (opérateurs réseau, analystes EDF). Il vise à maximiser la valeur apportée par la solution IA tout en minimisant les risques liés à une mauvaise utilisation.</w:t>
      </w:r>
    </w:p>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4.1 Guide d'utilisation — Comment exploiter les prédictions ?</w:t>
      </w:r>
    </w:p>
    <w:p>
      <w:pPr>
        <w:pStyle w:val="Heading3"/>
        <w:spacing w:after="100" w:before="200"/>
      </w:pPr>
      <w:r>
        <w:rPr>
          <w:rFonts w:ascii="Arial" w:cs="Arial" w:eastAsia="Arial" w:hAnsi="Arial"/>
          <w:b/>
          <w:bCs/>
          <w:color w:val="C55A11"/>
          <w:sz w:val="24"/>
          <w:szCs w:val="24"/>
        </w:rPr>
        <w:t xml:space="preserve">Accéder à la prédiction</w:t>
      </w:r>
    </w:p>
    <w:p>
      <w:pPr>
        <w:spacing w:after="120"/>
      </w:pPr>
      <w:r>
        <w:rPr>
          <w:rFonts w:ascii="Arial" w:cs="Arial" w:eastAsia="Arial" w:hAnsi="Arial"/>
          <w:sz w:val="22"/>
          <w:szCs w:val="22"/>
        </w:rPr>
        <w:t xml:space="preserve">La solution est accessible via l'API REST exposée sur l'environnement de production. Pour obtenir une prédiction de consommation journalière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Vérifier l'état de service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le dashboard Grafana (http://[serveur]:3000) ou appeler GET /health — s'assurer que status = ok avant toute utilisation critique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Préparer la requête</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 attendu : date au format YYYY-MM-DD (ex. 2025-06-15). Les autres features sont calculées automatiquement.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Interpréter la réponse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champ prediction_mw donne la consommation estimée en MW. Comparer avec la prévision RTE J-1 disponible dans les données éCO2mix.</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Appliquer son expertise métier</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prédiction est une aide à la décision. L'opérateur doit la combiner avec sa connaissance du contexte (événements exceptionnels, météo, jours fériés non standard).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Signaler toute anomalie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la prédiction vous semble anormale (écart &gt; 10% vs benchmark RTE J-1), signaler via le canal Teams #edf-prediction-ia ou le formulaire de feedback.</w:t>
            </w:r>
          </w:p>
        </w:tc>
      </w:tr>
    </w:tbl>
    <w:p>
      <w:pPr>
        <w:spacing w:after="120"/>
      </w:pPr>
      <w:r>
        <w:t xml:space="preserve"/>
      </w:r>
    </w:p>
    <w:p>
      <w:pPr>
        <w:pStyle w:val="Heading3"/>
        <w:spacing w:after="100" w:before="200"/>
      </w:pPr>
      <w:r>
        <w:rPr>
          <w:rFonts w:ascii="Arial" w:cs="Arial" w:eastAsia="Arial" w:hAnsi="Arial"/>
          <w:b/>
          <w:bCs/>
          <w:color w:val="C55A11"/>
          <w:sz w:val="24"/>
          <w:szCs w:val="24"/>
        </w:rPr>
        <w:t xml:space="preserve">Interpréter les résultats</w:t>
      </w:r>
    </w:p>
    <w:p>
      <w:pPr>
        <w:spacing w:after="120"/>
      </w:pPr>
      <w:r>
        <w:rPr>
          <w:rFonts w:ascii="Arial" w:cs="Arial" w:eastAsia="Arial" w:hAnsi="Arial"/>
          <w:sz w:val="22"/>
          <w:szCs w:val="22"/>
        </w:rPr>
        <w:t xml:space="preserve">La prédiction est exprimée en MW (mégawatts). Voici les plages de référence par saison pour évaluer si un résultat est cohérent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Saison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Fourchette typique</w:t>
            </w:r>
          </w:p>
        </w:tc>
        <w:tc>
          <w:tcPr>
            <w:tcW w:type="dxa" w:w="3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Attention si hors plage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Hiver (déc. – fév.)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55 000 – 80 000 MW</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45 000 ou &gt; 90 000 MW</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Printemps (mars – mai)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45 000 – 65 000 MW</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35 000 ou &gt; 75 000 MW</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Été (juin – août)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35 000 – 55 000 MW</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30 000 ou &gt; 65 000 MW</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Automne (sept. – nov.)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45 000 – 68 000 MW</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38 000 ou &gt; 78 000 MW</w:t>
            </w:r>
          </w:p>
        </w:tc>
      </w:tr>
    </w:tbl>
    <w:p>
      <w:pPr>
        <w:spacing w:after="120"/>
      </w:pPr>
      <w:r>
        <w:t xml:space="preserve"/>
      </w:r>
    </w:p>
    <w:p>
      <w:pPr>
        <w:pBdr>
          <w:left w:val="single" w:color="2E75B6" w:sz="12"/>
        </w:pBdr>
        <w:shd w:fill="D6E4F0" w:val="clear"/>
        <w:spacing w:after="120" w:before="120"/>
        <w:ind w:left="360" w:right="360"/>
      </w:pPr>
      <w:r>
        <w:rPr>
          <w:rFonts w:ascii="Arial" w:cs="Arial" w:eastAsia="Arial" w:hAnsi="Arial"/>
          <w:i/>
          <w:iCs/>
          <w:sz w:val="21"/>
          <w:szCs w:val="21"/>
        </w:rPr>
        <w:t xml:space="preserve">Les pics de consommation surviennent généralement les jours ouvrés entre 8h-12h et 17h-21h, en période de grand froid ou de canicule. Le modèle prend en compte les jours fériés français.</w:t>
      </w:r>
    </w:p>
    <w:p>
      <w:pPr>
        <w:spacing w:after="120"/>
      </w:pPr>
      <w:r>
        <w:t xml:space="preserve"/>
      </w:r>
    </w:p>
    <w:p>
      <w:pPr>
        <w:pStyle w:val="Heading3"/>
        <w:spacing w:after="100" w:before="200"/>
      </w:pPr>
      <w:r>
        <w:rPr>
          <w:rFonts w:ascii="Arial" w:cs="Arial" w:eastAsia="Arial" w:hAnsi="Arial"/>
          <w:b/>
          <w:bCs/>
          <w:color w:val="C55A11"/>
          <w:sz w:val="24"/>
          <w:szCs w:val="24"/>
        </w:rPr>
        <w:t xml:space="preserve">Comprendre les limites du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Conséquence pratique</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 la gérer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 météo non intégrées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modèle peut sous-estimer les pics de consommation lors des vagues de froid extrêmes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Corriger manuellement pour les événements météo exceptionnels (ajout de 5-15% lors de vague de froid extrême)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Entraîné sur 2023-2024 uniquement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Peut manquer de précision pour des patterns de consommation très nouveaux</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Surveiller le MAPE et déclencher un ré-entraînement si dégradation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Prédiction journalière uniquement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prédit pas la consommation heure par heure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la prévision RTE pour le découpage infra-journalier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Confiance non quantifiée (v1)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 d'intervalle de confiance sur la prédiction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Toujours comparer avec le benchmark RTE J-1 comme sanity check</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4.2 Check-list d'utilisation responsable</w:t>
      </w:r>
    </w:p>
    <w:p>
      <w:pPr>
        <w:spacing w:after="120"/>
      </w:pPr>
      <w:r>
        <w:rPr>
          <w:rFonts w:ascii="Arial" w:cs="Arial" w:eastAsia="Arial" w:hAnsi="Arial"/>
          <w:sz w:val="22"/>
          <w:szCs w:val="22"/>
        </w:rPr>
        <w:t xml:space="preserve">Cette check-list doit être consultée avant toute utilisation de la solution dans un contexte de décision opérationnelle critique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500"/>
        <w:gridCol w:w="19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Vérification à effectuer</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que l'API est opérationnelle (GET /health → status: ok) avant utilisation critique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Consulter le dashboard Grafana pour s'assurer qu'aucune alerte de dérive n'est active (indicateur rouge ou orange)</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Comparer la prédiction avec la prévision officielle RTE J-1 — un écart &gt; 10% doit déclencher une vérification manuelle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Vérifier que la date demandée est dans la plage attendue (pas de date trop lointaine dans le futur &gt; J+7)</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Tenir compte du contexte exceptionnel non capturé par le modèle (événement sportif majeur, vague de chaleur/froid extrême, grève nationale)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 pas utiliser la prédiction pour des décisions automatisées sans supervision humaine</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Règle absolue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Signaler immédiatement toute anomalie via le canal Teams #edf-prediction-ia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 pas modifier les paramètres du modèle ou accéder directement aux fichiers du conteneur</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Règle absolue</w:t>
            </w:r>
          </w:p>
        </w:tc>
      </w:tr>
    </w:tbl>
    <w:p>
      <w:pPr>
        <w:spacing w:after="120"/>
      </w:pPr>
      <w:r>
        <w:t xml:space="preserve"/>
      </w:r>
    </w:p>
    <w:p>
      <w:pPr>
        <w:pBdr>
          <w:left w:val="single" w:color="C55A11" w:sz="12"/>
        </w:pBdr>
        <w:shd w:fill="FCE4D6" w:val="clear"/>
        <w:spacing w:after="120" w:before="120"/>
        <w:ind w:left="360" w:right="360"/>
      </w:pPr>
      <w:r>
        <w:rPr>
          <w:rFonts w:ascii="Arial" w:cs="Arial" w:eastAsia="Arial" w:hAnsi="Arial"/>
          <w:i/>
          <w:iCs/>
          <w:sz w:val="21"/>
          <w:szCs w:val="21"/>
        </w:rPr>
        <w:t xml:space="preserve">Ce que l'IA fait bien : anticiper les tendances saisonnières, les effets de semaine, les jours fériés. Ce que l'IA fait moins bien : événements exceptionnels non représentés dans les données d'entraînement. L'opérateur reste le décideur final.</w:t>
      </w:r>
    </w:p>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4.3 Outil Lean — Fiche A3 d'amélioration continue</w:t>
      </w:r>
    </w:p>
    <w:p>
      <w:pPr>
        <w:spacing w:after="120"/>
      </w:pPr>
      <w:r>
        <w:rPr>
          <w:rFonts w:ascii="Arial" w:cs="Arial" w:eastAsia="Arial" w:hAnsi="Arial"/>
          <w:sz w:val="22"/>
          <w:szCs w:val="22"/>
        </w:rPr>
        <w:t xml:space="preserve">La fiche A3 est un outil de résolution de problèmes issu du Lean Management. Elle permet de structurer la remontée et la résolution des problèmes d'usage de la solution IA. Elle est remplie par tout utilisateur confronté à un problème récurrent, puis traitée en réunion mensuelle.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(Problème constaté)</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 (Analyse des causes)</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(Mesure corrective)</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SUIVI (Résultat &amp; Délai)</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Prédiction trop haute le week-end (MAPE &gt; 10%)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Sous-représentation des week-ends dans les données d'entraînement + effets vacances non capturés</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variable binaire 'jour_ferie_ou_vacances', ré-entraîner, valider sur jeu de test dédié week-ends</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 Arthur Méry — Statut : En cours — Délai : Sprint suivant</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Prédiction sous-estimée en janvier (vague de froid)</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Données météo (température) absentes dans les features actuelles de la v1</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Intégrer la température moyenne journalière (API Météo-France ou estimation) comme feature supplémentaire</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Responsable : Arthur Méry — Statut : A faire — Délai : v1.1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Utilisateurs ignorent les alertes de dérive Grafana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Alertes trop fréquentes (fatigue d'alerte) ou wording technique incompréhensible pour les non-développeurs</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Revoir les seuils d'alerte, améliorer le libellé des alertes, formation complémentaire sur la lecture du dashboard</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 Imed / Martin — Statut : A faire — Délai : J+30</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Indiquer votre problème ici</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Analyser la cause racine (5 pourquoi)</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Décrire l'action corrective proposée</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 ? Quand ? Résultat mesuré comment ?</w:t>
            </w:r>
          </w:p>
        </w:tc>
      </w:tr>
    </w:tbl>
    <w:p>
      <w:pPr>
        <w:spacing w:after="120"/>
      </w:pPr>
      <w:r>
        <w:t xml:space="preserve"/>
      </w:r>
    </w:p>
    <w:p>
      <w:pPr>
        <w:spacing w:after="120"/>
      </w:pPr>
      <w:r>
        <w:rPr>
          <w:rFonts w:ascii="Arial" w:cs="Arial" w:eastAsia="Arial" w:hAnsi="Arial"/>
          <w:sz w:val="22"/>
          <w:szCs w:val="22"/>
        </w:rPr>
        <w:t xml:space="preserve">Mode d'emploi de la fiche A3 : Toute entrée nouvelle doit être soumise via le formulaire de feedback (lien Teams) ou directement dans le canal #edf-prediction-ia. La fiche est revue en réunion mensuelle. Chaque ticket doit être traité en moins de 5 jours ouvrés. Les corrections validées alimentent le prochain cycle de ré-entraînement.</w:t>
      </w:r>
    </w:p>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4.4 Procédure de fallback — Que faire si l'API est indisponible ?</w:t>
      </w:r>
    </w:p>
    <w:p>
      <w:pPr>
        <w:pBdr>
          <w:left w:val="single" w:color="C55A11" w:sz="12"/>
        </w:pBdr>
        <w:shd w:fill="FCE4D6" w:val="clear"/>
        <w:spacing w:after="120" w:before="120"/>
        <w:ind w:left="360" w:right="360"/>
      </w:pPr>
      <w:r>
        <w:rPr>
          <w:rFonts w:ascii="Arial" w:cs="Arial" w:eastAsia="Arial" w:hAnsi="Arial"/>
          <w:i/>
          <w:iCs/>
          <w:sz w:val="21"/>
          <w:szCs w:val="21"/>
        </w:rPr>
        <w:t xml:space="preserve">En cas d'indisponibilité de l'API de prédiction, utiliser la prévision officielle RTE J-1 comme référence de substitution. Cette prévision est disponible directement sur https://www.rte-france.com/eco2mix.</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à effectuer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down (GET /health ne répond pas)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Signaler immédiatement sur Teams #edf-prediction-ia — 2. Utiliser la prévision RTE J-1 comme substitut — 3. L'équipe technique a pour objectif de rétablir le service en moins de 30 minutes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Prédiction anormale (hors plage de référence)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Comparer avec RTE J-1 — 2. Si écart &gt; 15%, ignorer la prédiction ML et utiliser RTE J-1 — 3. Signaler l'anomalie pour analyse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rouge sur Grafana (drift détecté)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Continuer d'utiliser l'API en surveillant de près — 2. Comparer systématiquement avec RTE J-1 — 3. Le ré-entraînement sera déclenché par l'équipe technique sous 2h</w:t>
            </w:r>
          </w:p>
        </w:tc>
      </w:tr>
    </w:tbl>
    <w:p>
      <w:pPr>
        <w:spacing w:after="120"/>
      </w:pPr>
      <w:r>
        <w:t xml:space="preserve"/>
      </w:r>
    </w:p>
    <w:p>
      <w:pPr>
        <w:pStyle w:val="Heading2"/>
        <w:pBdr>
          <w:bottom w:val="single" w:color="2E75B6" w:sz="4"/>
        </w:pBdr>
        <w:spacing w:after="150" w:before="300"/>
      </w:pPr>
      <w:r>
        <w:rPr>
          <w:rFonts w:ascii="Arial" w:cs="Arial" w:eastAsia="Arial" w:hAnsi="Arial"/>
          <w:b/>
          <w:bCs/>
          <w:color w:val="2E75B6"/>
          <w:sz w:val="26"/>
          <w:szCs w:val="26"/>
        </w:rPr>
        <w:t xml:space="preserve">4.5 Formulaire de feedback utilisateur</w:t>
      </w:r>
    </w:p>
    <w:p>
      <w:pPr>
        <w:spacing w:after="120"/>
      </w:pPr>
      <w:r>
        <w:rPr>
          <w:rFonts w:ascii="Arial" w:cs="Arial" w:eastAsia="Arial" w:hAnsi="Arial"/>
          <w:sz w:val="22"/>
          <w:szCs w:val="22"/>
        </w:rPr>
        <w:t xml:space="preserve">Pour tout retour d'usage (anomalie, suggestion d'amélioration, question), utiliser le formulaire suivant ou contacter directement l'équipe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l'observation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 / équipe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de retour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Anomalie / Amélioration / Question / Compliment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Décrire précisément le problème ou la suggestion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concernée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la prédiction en question (YYYY-MM-DD)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Prédiction obtenue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Valeur retournée par l'API en MW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attendue / observée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réelle ou estimation attendue en MW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Impact opérationnel</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décision prise était-elle impactée ? Comment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(Teams)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 le suivi de votre retour</w:t>
            </w:r>
          </w:p>
        </w:tc>
      </w:tr>
    </w:tbl>
    <w:p>
      <w:pPr>
        <w:spacing w:after="120"/>
      </w:pPr>
      <w:r>
        <w:t xml:space="preserve"/>
      </w:r>
    </w:p>
    <w:p>
      <w:pPr>
        <w:spacing w:after="120"/>
      </w:pPr>
      <w:r>
        <w:rPr>
          <w:rFonts w:ascii="Arial" w:cs="Arial" w:eastAsia="Arial" w:hAnsi="Arial"/>
          <w:sz w:val="22"/>
          <w:szCs w:val="22"/>
        </w:rPr>
        <w:t xml:space="preserve">Canal Teams : #edf-prediction-ia | Responsable : Imed Eddine Zeroual | Engagement de réponse : 24h ouvrées</w:t>
      </w:r>
    </w:p>
    <w:p>
      <w:pPr>
        <w:spacing w:after="120"/>
      </w:pPr>
      <w:r>
        <w:t xml:space="preserve"/>
      </w:r>
    </w:p>
    <w:p>
      <w:pPr>
        <w:spacing w:after="120"/>
      </w:pPr>
      <w:r>
        <w:t xml:space="preserve"/>
      </w:r>
    </w:p>
    <w:p>
      <w:pPr>
        <w:spacing w:after="120"/>
      </w:pPr>
      <w:r>
        <w:rPr>
          <w:rFonts w:ascii="Arial" w:cs="Arial" w:eastAsia="Arial" w:hAnsi="Arial"/>
          <w:i/>
          <w:iCs/>
          <w:color w:val="888888"/>
          <w:sz w:val="22"/>
          <w:szCs w:val="22"/>
        </w:rPr>
        <w:t xml:space="preserve">Version 1.0 — Juin 2026 — EPSI Chef de Projet Expert en Intelligence Artificielle — RNCP36582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Certification RNCP36582 — EPSI 2025/2026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666666"/>
        <w:sz w:val="18"/>
        <w:szCs w:val="18"/>
      </w:rPr>
      <w:t xml:space="preserve">MSPR Bloc 3 — EDF | Livrable 3 : Plan d'Accompagnement du Changement &amp; Bonne Utilisation de l'IA</w:t>
    </w:r>
    <w:r>
      <w:rPr>
        <w:sz w:val="18"/>
        <w:szCs w:val="18"/>
      </w:rPr>
      <w:t xml:space="preserve">	</w:t>
    </w:r>
    <w:r>
      <w:rPr>
        <w:rFonts w:ascii="Arial" w:cs="Arial" w:eastAsia="Arial" w:hAnsi="Arial"/>
        <w:color w:val="666666"/>
        <w:sz w:val="18"/>
        <w:szCs w:val="18"/>
      </w:rPr>
      <w:t xml:space="preserve">Imed Eddine Zeroual, Arthur Méry, Martin Dié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2026-06-08T17:26:42.415Z</dcterms:created>
  <dcterms:modified xsi:type="dcterms:W3CDTF">2026-06-08T17:26:42.415Z</dcterms:modified>
</cp:coreProperties>
</file>

<file path=docProps/custom.xml><?xml version="1.0" encoding="utf-8"?>
<Properties xmlns="http://schemas.openxmlformats.org/officeDocument/2006/custom-properties" xmlns:vt="http://schemas.openxmlformats.org/officeDocument/2006/docPropsVTypes"/>
</file>