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bf0gjnunfq3l" w:id="0"/>
      <w:bookmarkEnd w:id="0"/>
      <w:r w:rsidDel="00000000" w:rsidR="00000000" w:rsidRPr="00000000">
        <w:rPr>
          <w:b w:val="1"/>
          <w:bCs w:val="1"/>
          <w:rtl w:val="0"/>
        </w:rPr>
        <w:t xml:space="preserve">1. Service IaaS (Infrastructure as a Service)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c4uzvq97t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Définition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L’IaaS fournit au client des ressources </w:t>
      </w:r>
      <w:r w:rsidDel="00000000" w:rsidR="00000000" w:rsidRPr="00000000">
        <w:rPr>
          <w:b w:val="1"/>
          <w:bCs w:val="1"/>
          <w:rtl w:val="0"/>
        </w:rPr>
        <w:t xml:space="preserve">infrastructurelles</w:t>
      </w:r>
      <w:r w:rsidDel="00000000" w:rsidR="00000000" w:rsidRPr="00000000">
        <w:rPr>
          <w:rtl w:val="0"/>
        </w:rPr>
        <w:t xml:space="preserve"> : machines virtuelles, stockage, réseau.</w:t>
        <w:br w:type="textWrapping"/>
        <w:t xml:space="preserve"> Le client gère : OS, runtime, applications.</w:t>
        <w:br w:type="textWrapping"/>
        <w:t xml:space="preserve"> Le fournisseur gère : serveurs, datacenter, réseau physique.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ykxxabbrd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Équivalents Cloud</w:t>
      </w:r>
    </w:p>
    <w:tbl>
      <w:tblPr>
        <w:tblStyle w:val="Table1"/>
        <w:tblW w:w="5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3605"/>
        <w:tblGridChange w:id="0">
          <w:tblGrid>
            <w:gridCol w:w="1805"/>
            <w:gridCol w:w="3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Fournisseur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IaaS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Amazon EC2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Azure Virtual Machines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Google Compute Engine (GCE)</w:t>
            </w:r>
          </w:p>
        </w:tc>
      </w:tr>
    </w:tbl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k7x917di7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Avantages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Très flexible : choix de l’OS, du CPU, de la RAM, du réseau.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Contrôle total de l’environnement logiciel.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Adapté aux applications existantes à migrer telles quelles (lift &amp; shift).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Très bonne scalabilité verticale/horizontale.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e13agwk65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Inconvénients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Gestion plus lourde : patching, sécurité OS, monitoring.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coûteux si mauvaise gestion des ressources.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Nécessite des compétences système (Linux/Windows).</w:t>
        <w:br w:type="textWrapping"/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n7nb8blb8f1k" w:id="5"/>
      <w:bookmarkEnd w:id="5"/>
      <w:r w:rsidDel="00000000" w:rsidR="00000000" w:rsidRPr="00000000">
        <w:rPr>
          <w:b w:val="1"/>
          <w:bCs w:val="1"/>
          <w:rtl w:val="0"/>
        </w:rPr>
        <w:t xml:space="preserve">2. Service CaaS (Container as a Service)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ai2953tsv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Définition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CaaS fournit un environnement pour </w:t>
      </w:r>
      <w:r w:rsidDel="00000000" w:rsidR="00000000" w:rsidRPr="00000000">
        <w:rPr>
          <w:b w:val="1"/>
          <w:bCs w:val="1"/>
          <w:rtl w:val="0"/>
        </w:rPr>
        <w:t xml:space="preserve">exécuter, gérer et orchestrer des conteneurs</w:t>
      </w:r>
      <w:r w:rsidDel="00000000" w:rsidR="00000000" w:rsidRPr="00000000">
        <w:rPr>
          <w:rtl w:val="0"/>
        </w:rPr>
        <w:t xml:space="preserve"> (ex : Docker).</w:t>
        <w:br w:type="textWrapping"/>
        <w:t xml:space="preserve"> Souvent basé sur </w:t>
      </w:r>
      <w:r w:rsidDel="00000000" w:rsidR="00000000" w:rsidRPr="00000000">
        <w:rPr>
          <w:b w:val="1"/>
          <w:bCs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.</w:t>
        <w:br w:type="textWrapping"/>
        <w:t xml:space="preserve"> Le client gère : conteneurs, images, configuration.</w:t>
        <w:br w:type="textWrapping"/>
        <w:t xml:space="preserve"> Le fournisseur gère : orchestration, scaling, nœuds maîtres.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df9p4mcyk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Équivalents Cloud</w:t>
      </w:r>
    </w:p>
    <w:tbl>
      <w:tblPr>
        <w:tblStyle w:val="Table2"/>
        <w:tblW w:w="8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6575"/>
        <w:tblGridChange w:id="0">
          <w:tblGrid>
            <w:gridCol w:w="1805"/>
            <w:gridCol w:w="6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Fournisseur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CaaS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Amazon Elastic Kubernetes Service (EKS) ou Amazon ECS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Azure Kubernetes Service (AKS)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Google Kubernetes Engine (GKE)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r4f7t4jte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Avantages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Standardisation via Docker/Kubernetes.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Déploiements rapides, reproductibles et portables.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Scalabilité automatique et gestion avancée des workloads.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Séparation claire : app dans les conteneurs, infra abstraite.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dqbhzdz13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Inconvénients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Courbe d’apprentissage élevée (surtout Kubernetes).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 la complexité (networking, RBAC, monitoring).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Coût plus élevé si les clusters ne sont pas optimisés.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Nécessite une bonne stratégie DevOps.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x463qg2ys781" w:id="10"/>
      <w:bookmarkEnd w:id="10"/>
      <w:r w:rsidDel="00000000" w:rsidR="00000000" w:rsidRPr="00000000">
        <w:rPr>
          <w:b w:val="1"/>
          <w:bCs w:val="1"/>
          <w:rtl w:val="0"/>
        </w:rPr>
        <w:t xml:space="preserve">3. Service PaaS (Platform as a Service)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rhp5d6ce0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Définition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PaaS fournit une </w:t>
      </w:r>
      <w:r w:rsidDel="00000000" w:rsidR="00000000" w:rsidRPr="00000000">
        <w:rPr>
          <w:b w:val="1"/>
          <w:bCs w:val="1"/>
          <w:rtl w:val="0"/>
        </w:rPr>
        <w:t xml:space="preserve">plateforme complète</w:t>
      </w:r>
      <w:r w:rsidDel="00000000" w:rsidR="00000000" w:rsidRPr="00000000">
        <w:rPr>
          <w:rtl w:val="0"/>
        </w:rPr>
        <w:t xml:space="preserve"> prête à l’emploi pour déployer des applications sans gérer l’infrastructure sous-jacente.</w:t>
        <w:br w:type="textWrapping"/>
        <w:t xml:space="preserve"> Le client gère : code, configuration.</w:t>
        <w:br w:type="textWrapping"/>
        <w:t xml:space="preserve"> Le fournisseur gère : OS, runtime, scaling, mise à jour.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hhyy19231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Équivalents Cloud</w:t>
      </w:r>
    </w:p>
    <w:tbl>
      <w:tblPr>
        <w:tblStyle w:val="Table3"/>
        <w:tblW w:w="6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4715"/>
        <w:tblGridChange w:id="0">
          <w:tblGrid>
            <w:gridCol w:w="1805"/>
            <w:gridCol w:w="4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Fournisseur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PaaS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AWS Elastic Beanstalk / AWS App Runner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Azure App Service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Google App Engine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n5uc79ll7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klf1okcap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Avantages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Aucune gestion d’infrastructure ou OS.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Déploiement très rapide d’applications.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Auto-scaling natif et haute disponibilité.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pour les équipes dev sans expertise DevOps poussée.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6hdhlxan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Inconvénients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Flexibilité limitée : dépend du runtime supporté.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Risque de verrouillage fournisseur (vendor lock-in).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coûteux pour des applications simples.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Moins adapté aux architectures complexes.</w:t>
        <w:br w:type="textWrapping"/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vezamxjhb0ck" w:id="16"/>
      <w:bookmarkEnd w:id="16"/>
      <w:r w:rsidDel="00000000" w:rsidR="00000000" w:rsidRPr="00000000">
        <w:rPr>
          <w:b w:val="1"/>
          <w:bCs w:val="1"/>
          <w:rtl w:val="0"/>
        </w:rPr>
        <w:t xml:space="preserve">Résumé global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9.9049129650161"/>
        <w:gridCol w:w="3190.931205541754"/>
        <w:gridCol w:w="1173.4092950611391"/>
        <w:gridCol w:w="1409.9463466347286"/>
        <w:gridCol w:w="2481.320050820986"/>
        <w:tblGridChange w:id="0">
          <w:tblGrid>
            <w:gridCol w:w="769.9049129650161"/>
            <w:gridCol w:w="3190.931205541754"/>
            <w:gridCol w:w="1173.4092950611391"/>
            <w:gridCol w:w="1409.9463466347286"/>
            <w:gridCol w:w="2481.32005082098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Niveau de gestion par le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Très élevé (OS, middleware, app)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Maximum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Moyenne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EC2, Azure VM, GCE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Moyen (conteneurs, orchestration)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Élevée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EKS/AKS/GKE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Faible (juste le code)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Limité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 Engine, App Service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