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ECD73" w14:textId="77777777" w:rsidR="00D14C31" w:rsidRPr="00D14C31" w:rsidRDefault="00D14C31" w:rsidP="00D14C31">
      <w:pPr>
        <w:jc w:val="center"/>
        <w:rPr>
          <w:rFonts w:ascii="Garamond" w:hAnsi="Garamond"/>
          <w:color w:val="F57B38"/>
          <w:sz w:val="32"/>
          <w:szCs w:val="32"/>
        </w:rPr>
      </w:pPr>
    </w:p>
    <w:p w14:paraId="149425BD" w14:textId="77777777" w:rsidR="00D14C31" w:rsidRPr="00D14C31" w:rsidRDefault="00D14C31" w:rsidP="00D14C31">
      <w:pPr>
        <w:jc w:val="center"/>
        <w:rPr>
          <w:rFonts w:ascii="Garamond" w:hAnsi="Garamond"/>
          <w:color w:val="F57B38"/>
          <w:sz w:val="32"/>
          <w:szCs w:val="32"/>
        </w:rPr>
      </w:pPr>
    </w:p>
    <w:p w14:paraId="365C1EE6" w14:textId="77777777" w:rsidR="00D14C31" w:rsidRPr="00D14C31" w:rsidRDefault="00D14C31" w:rsidP="00D14C31">
      <w:pPr>
        <w:jc w:val="center"/>
        <w:rPr>
          <w:rFonts w:ascii="Garamond" w:hAnsi="Garamond"/>
          <w:color w:val="F57B38"/>
          <w:sz w:val="32"/>
          <w:szCs w:val="32"/>
        </w:rPr>
      </w:pPr>
    </w:p>
    <w:p w14:paraId="13FFAD0A" w14:textId="77777777" w:rsidR="00D14C31" w:rsidRPr="00D14C31" w:rsidRDefault="00D14C31" w:rsidP="00D14C31">
      <w:pPr>
        <w:jc w:val="center"/>
        <w:rPr>
          <w:rFonts w:ascii="Garamond" w:hAnsi="Garamond"/>
          <w:color w:val="F57B38"/>
          <w:sz w:val="32"/>
          <w:szCs w:val="32"/>
        </w:rPr>
      </w:pPr>
    </w:p>
    <w:p w14:paraId="1493DC3A" w14:textId="77777777" w:rsidR="00D14C31" w:rsidRPr="00D14C31" w:rsidRDefault="00D14C31" w:rsidP="00D14C31">
      <w:pPr>
        <w:jc w:val="center"/>
        <w:rPr>
          <w:rFonts w:ascii="Garamond" w:hAnsi="Garamond"/>
          <w:color w:val="F57B38"/>
          <w:sz w:val="32"/>
          <w:szCs w:val="32"/>
        </w:rPr>
      </w:pPr>
    </w:p>
    <w:p w14:paraId="7B3B08B9" w14:textId="2F1479C4" w:rsidR="00D14C31" w:rsidRPr="00D14C31" w:rsidRDefault="00D14C31" w:rsidP="00D14C31">
      <w:pPr>
        <w:jc w:val="center"/>
        <w:rPr>
          <w:rFonts w:ascii="Garamond" w:hAnsi="Garamond"/>
          <w:b/>
          <w:bCs/>
          <w:color w:val="F57B38"/>
          <w:sz w:val="48"/>
          <w:szCs w:val="48"/>
        </w:rPr>
      </w:pPr>
    </w:p>
    <w:p w14:paraId="4FCD8B47" w14:textId="6E3979D0" w:rsidR="00D14C31" w:rsidRPr="00D14C31" w:rsidRDefault="00D14C31" w:rsidP="00D14C31">
      <w:pPr>
        <w:jc w:val="center"/>
        <w:rPr>
          <w:rFonts w:ascii="Garamond" w:hAnsi="Garamond"/>
          <w:b/>
          <w:bCs/>
        </w:rPr>
      </w:pPr>
      <w:r w:rsidRPr="00D14C31">
        <w:rPr>
          <w:rFonts w:ascii="Garamond" w:hAnsi="Garamond"/>
        </w:rPr>
        <w:fldChar w:fldCharType="begin"/>
      </w:r>
      <w:r w:rsidRPr="00D14C31">
        <w:rPr>
          <w:rFonts w:ascii="Garamond" w:hAnsi="Garamond"/>
        </w:rPr>
        <w:instrText xml:space="preserve"> INCLUDEPICTURE "https://upload.wikimedia.org/wikipedia/commons/thumb/9/9e/Ulta_Beauty_logo.svg/1200px-Ulta_Beauty_logo.svg.png" \* MERGEFORMATINET </w:instrText>
      </w:r>
      <w:r w:rsidRPr="00D14C31">
        <w:rPr>
          <w:rFonts w:ascii="Garamond" w:hAnsi="Garamond"/>
        </w:rPr>
        <w:fldChar w:fldCharType="separate"/>
      </w:r>
      <w:r w:rsidRPr="00D14C31">
        <w:rPr>
          <w:rFonts w:ascii="Garamond" w:hAnsi="Garamond"/>
          <w:noProof/>
        </w:rPr>
        <w:drawing>
          <wp:inline distT="0" distB="0" distL="0" distR="0" wp14:anchorId="2E03063E" wp14:editId="03B05B2F">
            <wp:extent cx="4336868" cy="1757915"/>
            <wp:effectExtent l="0" t="0" r="0" b="0"/>
            <wp:docPr id="80304900" name="Picture 2" descr="Ulta Beau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lta Beau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9701" cy="1803651"/>
                    </a:xfrm>
                    <a:prstGeom prst="rect">
                      <a:avLst/>
                    </a:prstGeom>
                    <a:noFill/>
                    <a:ln>
                      <a:noFill/>
                    </a:ln>
                  </pic:spPr>
                </pic:pic>
              </a:graphicData>
            </a:graphic>
          </wp:inline>
        </w:drawing>
      </w:r>
      <w:r w:rsidRPr="00D14C31">
        <w:rPr>
          <w:rFonts w:ascii="Garamond" w:hAnsi="Garamond"/>
        </w:rPr>
        <w:fldChar w:fldCharType="end"/>
      </w:r>
    </w:p>
    <w:p w14:paraId="0BF4C7C3" w14:textId="77777777" w:rsidR="00D14C31" w:rsidRPr="00D14C31" w:rsidRDefault="00D14C31" w:rsidP="001B5229">
      <w:pPr>
        <w:rPr>
          <w:rFonts w:ascii="Garamond" w:hAnsi="Garamond"/>
          <w:b/>
          <w:bCs/>
        </w:rPr>
      </w:pPr>
    </w:p>
    <w:p w14:paraId="29804652" w14:textId="77777777" w:rsidR="00D14C31" w:rsidRPr="00D14C31" w:rsidRDefault="00D14C31" w:rsidP="001B5229">
      <w:pPr>
        <w:rPr>
          <w:rFonts w:ascii="Garamond" w:hAnsi="Garamond"/>
          <w:b/>
          <w:bCs/>
        </w:rPr>
      </w:pPr>
    </w:p>
    <w:p w14:paraId="31A7019E" w14:textId="77777777" w:rsidR="00D14C31" w:rsidRPr="00D14C31" w:rsidRDefault="00D14C31" w:rsidP="001B5229">
      <w:pPr>
        <w:rPr>
          <w:rFonts w:ascii="Garamond" w:hAnsi="Garamond"/>
          <w:b/>
          <w:bCs/>
        </w:rPr>
      </w:pPr>
    </w:p>
    <w:p w14:paraId="6A6CE7E4" w14:textId="77777777" w:rsidR="00D14C31" w:rsidRPr="00D14C31" w:rsidRDefault="00D14C31" w:rsidP="001B5229">
      <w:pPr>
        <w:rPr>
          <w:rFonts w:ascii="Garamond" w:hAnsi="Garamond"/>
          <w:b/>
          <w:bCs/>
        </w:rPr>
      </w:pPr>
    </w:p>
    <w:p w14:paraId="470CEBB4" w14:textId="77777777" w:rsidR="00D14C31" w:rsidRPr="00D14C31" w:rsidRDefault="00D14C31" w:rsidP="001B5229">
      <w:pPr>
        <w:rPr>
          <w:rFonts w:ascii="Garamond" w:hAnsi="Garamond"/>
          <w:b/>
          <w:bCs/>
        </w:rPr>
      </w:pPr>
    </w:p>
    <w:p w14:paraId="0A5D4948" w14:textId="77777777" w:rsidR="00D14C31" w:rsidRPr="00D14C31" w:rsidRDefault="00D14C31" w:rsidP="001B5229">
      <w:pPr>
        <w:rPr>
          <w:rFonts w:ascii="Garamond" w:hAnsi="Garamond"/>
          <w:b/>
          <w:bCs/>
        </w:rPr>
      </w:pPr>
    </w:p>
    <w:p w14:paraId="675C1E29" w14:textId="77777777" w:rsidR="00D14C31" w:rsidRPr="00D14C31" w:rsidRDefault="00D14C31" w:rsidP="001B5229">
      <w:pPr>
        <w:rPr>
          <w:rFonts w:ascii="Garamond" w:hAnsi="Garamond"/>
          <w:b/>
          <w:bCs/>
        </w:rPr>
      </w:pPr>
    </w:p>
    <w:p w14:paraId="5202A684" w14:textId="77777777" w:rsidR="00D14C31" w:rsidRPr="00D14C31" w:rsidRDefault="00D14C31" w:rsidP="001B5229">
      <w:pPr>
        <w:rPr>
          <w:rFonts w:ascii="Garamond" w:hAnsi="Garamond"/>
          <w:b/>
          <w:bCs/>
        </w:rPr>
      </w:pPr>
    </w:p>
    <w:p w14:paraId="7FF2D766" w14:textId="77777777" w:rsidR="00D14C31" w:rsidRPr="00D14C31" w:rsidRDefault="00D14C31" w:rsidP="001B5229">
      <w:pPr>
        <w:rPr>
          <w:rFonts w:ascii="Garamond" w:hAnsi="Garamond"/>
          <w:b/>
          <w:bCs/>
        </w:rPr>
      </w:pPr>
    </w:p>
    <w:p w14:paraId="4D6297B1" w14:textId="77777777" w:rsidR="00D14C31" w:rsidRPr="00D14C31" w:rsidRDefault="00D14C31" w:rsidP="001B5229">
      <w:pPr>
        <w:rPr>
          <w:rFonts w:ascii="Garamond" w:hAnsi="Garamond"/>
          <w:b/>
          <w:bCs/>
        </w:rPr>
      </w:pPr>
    </w:p>
    <w:p w14:paraId="043354E3" w14:textId="77777777" w:rsidR="00D14C31" w:rsidRPr="00D14C31" w:rsidRDefault="00D14C31" w:rsidP="001B5229">
      <w:pPr>
        <w:rPr>
          <w:rFonts w:ascii="Garamond" w:hAnsi="Garamond"/>
          <w:b/>
          <w:bCs/>
        </w:rPr>
      </w:pPr>
    </w:p>
    <w:p w14:paraId="4517DB94" w14:textId="77777777" w:rsidR="00D14C31" w:rsidRPr="00D14C31" w:rsidRDefault="00D14C31" w:rsidP="001B5229">
      <w:pPr>
        <w:rPr>
          <w:rFonts w:ascii="Garamond" w:hAnsi="Garamond"/>
          <w:b/>
          <w:bCs/>
        </w:rPr>
      </w:pPr>
    </w:p>
    <w:p w14:paraId="6D769147" w14:textId="77777777" w:rsidR="00D14C31" w:rsidRPr="00D14C31" w:rsidRDefault="00D14C31" w:rsidP="001B5229">
      <w:pPr>
        <w:rPr>
          <w:rFonts w:ascii="Garamond" w:hAnsi="Garamond"/>
          <w:b/>
          <w:bCs/>
        </w:rPr>
      </w:pPr>
    </w:p>
    <w:p w14:paraId="179AB928" w14:textId="77777777" w:rsidR="00D14C31" w:rsidRDefault="00D14C31" w:rsidP="00D14C31">
      <w:pPr>
        <w:rPr>
          <w:rFonts w:ascii="Garamond" w:hAnsi="Garamond"/>
          <w:b/>
          <w:bCs/>
        </w:rPr>
      </w:pPr>
    </w:p>
    <w:p w14:paraId="09A99060" w14:textId="77777777" w:rsidR="00D14C31" w:rsidRDefault="00D14C31" w:rsidP="00D14C31">
      <w:pPr>
        <w:rPr>
          <w:rFonts w:ascii="Garamond" w:hAnsi="Garamond"/>
          <w:b/>
          <w:bCs/>
        </w:rPr>
      </w:pPr>
    </w:p>
    <w:p w14:paraId="4D5E50D6" w14:textId="77777777" w:rsidR="005C2A1C" w:rsidRDefault="005C2A1C" w:rsidP="00D14C31">
      <w:pPr>
        <w:rPr>
          <w:rFonts w:ascii="Garamond" w:hAnsi="Garamond"/>
          <w:b/>
          <w:bCs/>
        </w:rPr>
      </w:pPr>
    </w:p>
    <w:p w14:paraId="36424B7D" w14:textId="77777777" w:rsidR="005C2A1C" w:rsidRPr="00D14C31" w:rsidRDefault="005C2A1C" w:rsidP="00D14C31">
      <w:pPr>
        <w:rPr>
          <w:rFonts w:ascii="Garamond" w:hAnsi="Garamond"/>
          <w:b/>
          <w:bCs/>
        </w:rPr>
      </w:pPr>
    </w:p>
    <w:p w14:paraId="44A0F88E" w14:textId="71DCB28B" w:rsidR="008F032A" w:rsidRDefault="008F032A" w:rsidP="008F032A">
      <w:pPr>
        <w:rPr>
          <w:rFonts w:ascii="Garamond" w:hAnsi="Garamond"/>
          <w:b/>
          <w:bCs/>
          <w:color w:val="F57B38"/>
          <w:sz w:val="28"/>
          <w:szCs w:val="28"/>
        </w:rPr>
      </w:pPr>
      <w:r>
        <w:rPr>
          <w:rFonts w:ascii="Garamond" w:hAnsi="Garamond"/>
          <w:b/>
          <w:bCs/>
          <w:color w:val="F57B38"/>
          <w:sz w:val="28"/>
          <w:szCs w:val="28"/>
        </w:rPr>
        <w:lastRenderedPageBreak/>
        <w:t>Investment Thesis</w:t>
      </w:r>
    </w:p>
    <w:p w14:paraId="25AE4ABF" w14:textId="1FCF4898" w:rsidR="007915D9" w:rsidRDefault="00AF175D" w:rsidP="008F032A">
      <w:pPr>
        <w:rPr>
          <w:rFonts w:ascii="Garamond" w:hAnsi="Garamond"/>
        </w:rPr>
      </w:pPr>
      <w:r>
        <w:rPr>
          <w:rFonts w:ascii="Garamond" w:hAnsi="Garamond"/>
        </w:rPr>
        <w:t xml:space="preserve">Following </w:t>
      </w:r>
      <w:r w:rsidR="003146A8">
        <w:rPr>
          <w:rFonts w:ascii="Garamond" w:hAnsi="Garamond"/>
        </w:rPr>
        <w:t>the</w:t>
      </w:r>
      <w:r>
        <w:rPr>
          <w:rFonts w:ascii="Garamond" w:hAnsi="Garamond"/>
        </w:rPr>
        <w:t xml:space="preserve"> normalization of consumer demand</w:t>
      </w:r>
      <w:r w:rsidR="00B07E42">
        <w:rPr>
          <w:rFonts w:ascii="Garamond" w:hAnsi="Garamond"/>
        </w:rPr>
        <w:t xml:space="preserve"> </w:t>
      </w:r>
      <w:r w:rsidR="003146A8">
        <w:rPr>
          <w:rFonts w:ascii="Garamond" w:hAnsi="Garamond"/>
        </w:rPr>
        <w:t>within the beauty category</w:t>
      </w:r>
      <w:r w:rsidR="00CA3508">
        <w:rPr>
          <w:rFonts w:ascii="Garamond" w:hAnsi="Garamond"/>
        </w:rPr>
        <w:t xml:space="preserve"> and</w:t>
      </w:r>
      <w:r w:rsidR="008D7DC5">
        <w:rPr>
          <w:rFonts w:ascii="Garamond" w:hAnsi="Garamond"/>
        </w:rPr>
        <w:t xml:space="preserve"> </w:t>
      </w:r>
      <w:r w:rsidR="003146A8">
        <w:rPr>
          <w:rFonts w:ascii="Garamond" w:hAnsi="Garamond"/>
        </w:rPr>
        <w:t>decreased forward guidance</w:t>
      </w:r>
      <w:r w:rsidR="00E5673C">
        <w:rPr>
          <w:rFonts w:ascii="Garamond" w:hAnsi="Garamond"/>
        </w:rPr>
        <w:t>,</w:t>
      </w:r>
      <w:r w:rsidR="008D596C">
        <w:rPr>
          <w:rFonts w:ascii="Garamond" w:hAnsi="Garamond"/>
        </w:rPr>
        <w:t xml:space="preserve"> Ulta </w:t>
      </w:r>
      <w:r w:rsidR="000628F0">
        <w:rPr>
          <w:rFonts w:ascii="Garamond" w:hAnsi="Garamond"/>
        </w:rPr>
        <w:t xml:space="preserve">stock has dropped </w:t>
      </w:r>
      <w:r w:rsidR="00127E7C">
        <w:rPr>
          <w:rFonts w:ascii="Garamond" w:hAnsi="Garamond"/>
        </w:rPr>
        <w:t>32</w:t>
      </w:r>
      <w:r w:rsidR="00682ED5">
        <w:rPr>
          <w:rFonts w:ascii="Garamond" w:hAnsi="Garamond"/>
        </w:rPr>
        <w:t>% from its 52-week high, presenting a</w:t>
      </w:r>
      <w:r w:rsidR="005645D4">
        <w:rPr>
          <w:rFonts w:ascii="Garamond" w:hAnsi="Garamond"/>
        </w:rPr>
        <w:t xml:space="preserve"> long-term </w:t>
      </w:r>
      <w:r w:rsidR="00440B1F">
        <w:rPr>
          <w:rFonts w:ascii="Garamond" w:hAnsi="Garamond"/>
        </w:rPr>
        <w:t xml:space="preserve">investment </w:t>
      </w:r>
      <w:r w:rsidR="0023038D">
        <w:rPr>
          <w:rFonts w:ascii="Garamond" w:hAnsi="Garamond"/>
        </w:rPr>
        <w:t xml:space="preserve">opportunity </w:t>
      </w:r>
      <w:r w:rsidR="00440B1F">
        <w:rPr>
          <w:rFonts w:ascii="Garamond" w:hAnsi="Garamond"/>
        </w:rPr>
        <w:t>with significant upside potential.</w:t>
      </w:r>
    </w:p>
    <w:p w14:paraId="406A39F3" w14:textId="5A3EF5F1" w:rsidR="00EC629C" w:rsidRDefault="00B77C1B" w:rsidP="008F032A">
      <w:pPr>
        <w:rPr>
          <w:rFonts w:ascii="Garamond" w:hAnsi="Garamond"/>
        </w:rPr>
      </w:pPr>
      <w:r>
        <w:rPr>
          <w:rFonts w:ascii="Garamond" w:hAnsi="Garamond"/>
        </w:rPr>
        <w:t xml:space="preserve">The following </w:t>
      </w:r>
      <w:r w:rsidR="00406B11">
        <w:rPr>
          <w:rFonts w:ascii="Garamond" w:hAnsi="Garamond"/>
        </w:rPr>
        <w:t>points describe the basis for the current</w:t>
      </w:r>
      <w:r w:rsidR="008D596C">
        <w:rPr>
          <w:rFonts w:ascii="Garamond" w:hAnsi="Garamond"/>
        </w:rPr>
        <w:t xml:space="preserve"> Ulta </w:t>
      </w:r>
      <w:r w:rsidR="00406B11">
        <w:rPr>
          <w:rFonts w:ascii="Garamond" w:hAnsi="Garamond"/>
        </w:rPr>
        <w:t>buy recommendation:</w:t>
      </w:r>
    </w:p>
    <w:p w14:paraId="5C5384EE" w14:textId="6E20B0A1" w:rsidR="00406B11" w:rsidRPr="002B6430" w:rsidRDefault="007F65FC" w:rsidP="00406B11">
      <w:pPr>
        <w:pStyle w:val="ListParagraph"/>
        <w:numPr>
          <w:ilvl w:val="0"/>
          <w:numId w:val="13"/>
        </w:numPr>
        <w:rPr>
          <w:rFonts w:ascii="Garamond" w:hAnsi="Garamond"/>
          <w:color w:val="F57B38"/>
          <w:sz w:val="28"/>
          <w:szCs w:val="28"/>
        </w:rPr>
      </w:pPr>
      <w:r>
        <w:rPr>
          <w:rFonts w:ascii="Garamond" w:hAnsi="Garamond"/>
          <w:color w:val="000000" w:themeColor="text1"/>
        </w:rPr>
        <w:t>Over the past 10 years</w:t>
      </w:r>
      <w:r w:rsidR="00307EA1">
        <w:rPr>
          <w:rFonts w:ascii="Garamond" w:hAnsi="Garamond"/>
          <w:color w:val="000000" w:themeColor="text1"/>
        </w:rPr>
        <w:t>,</w:t>
      </w:r>
      <w:r w:rsidR="008D596C">
        <w:rPr>
          <w:rFonts w:ascii="Garamond" w:hAnsi="Garamond"/>
          <w:color w:val="000000" w:themeColor="text1"/>
        </w:rPr>
        <w:t xml:space="preserve"> Ulta </w:t>
      </w:r>
      <w:r w:rsidR="002B6430">
        <w:rPr>
          <w:rFonts w:ascii="Garamond" w:hAnsi="Garamond"/>
          <w:color w:val="000000" w:themeColor="text1"/>
        </w:rPr>
        <w:t>has reported double-digit growth in both revenue and earnings</w:t>
      </w:r>
      <w:r w:rsidR="00431607">
        <w:rPr>
          <w:rFonts w:ascii="Garamond" w:hAnsi="Garamond"/>
          <w:color w:val="000000" w:themeColor="text1"/>
        </w:rPr>
        <w:t>.</w:t>
      </w:r>
    </w:p>
    <w:p w14:paraId="4E2EB698" w14:textId="3C23988B" w:rsidR="002B6430" w:rsidRPr="00431607" w:rsidRDefault="0017699D" w:rsidP="00406B11">
      <w:pPr>
        <w:pStyle w:val="ListParagraph"/>
        <w:numPr>
          <w:ilvl w:val="0"/>
          <w:numId w:val="13"/>
        </w:numPr>
        <w:rPr>
          <w:rFonts w:ascii="Garamond" w:hAnsi="Garamond"/>
          <w:color w:val="F57B38"/>
          <w:sz w:val="28"/>
          <w:szCs w:val="28"/>
        </w:rPr>
      </w:pPr>
      <w:r>
        <w:rPr>
          <w:rFonts w:ascii="Garamond" w:hAnsi="Garamond"/>
          <w:color w:val="000000" w:themeColor="text1"/>
        </w:rPr>
        <w:t>Since 2012, Ulta’s profit margins have remained consistent</w:t>
      </w:r>
      <w:r w:rsidR="00431607">
        <w:rPr>
          <w:rFonts w:ascii="Garamond" w:hAnsi="Garamond"/>
          <w:color w:val="000000" w:themeColor="text1"/>
        </w:rPr>
        <w:t>, with slight growth exiting the pandemic.</w:t>
      </w:r>
    </w:p>
    <w:p w14:paraId="66DE6CE7" w14:textId="1DD588FA" w:rsidR="00431607" w:rsidRPr="00AC413B" w:rsidRDefault="006A607D" w:rsidP="00406B11">
      <w:pPr>
        <w:pStyle w:val="ListParagraph"/>
        <w:numPr>
          <w:ilvl w:val="0"/>
          <w:numId w:val="13"/>
        </w:numPr>
        <w:rPr>
          <w:rFonts w:ascii="Garamond" w:hAnsi="Garamond"/>
          <w:color w:val="F57B38"/>
          <w:sz w:val="28"/>
          <w:szCs w:val="28"/>
        </w:rPr>
      </w:pPr>
      <w:r>
        <w:rPr>
          <w:rFonts w:ascii="Garamond" w:hAnsi="Garamond"/>
          <w:color w:val="000000" w:themeColor="text1"/>
        </w:rPr>
        <w:t xml:space="preserve">Significant free cash flows, </w:t>
      </w:r>
      <w:r w:rsidR="00EF5BB7">
        <w:rPr>
          <w:rFonts w:ascii="Garamond" w:hAnsi="Garamond"/>
          <w:color w:val="000000" w:themeColor="text1"/>
        </w:rPr>
        <w:t xml:space="preserve">store growth, and </w:t>
      </w:r>
      <w:r w:rsidR="009071FB">
        <w:rPr>
          <w:rFonts w:ascii="Garamond" w:hAnsi="Garamond"/>
          <w:color w:val="000000" w:themeColor="text1"/>
        </w:rPr>
        <w:t xml:space="preserve">the </w:t>
      </w:r>
      <w:r w:rsidR="00EF5BB7">
        <w:rPr>
          <w:rFonts w:ascii="Garamond" w:hAnsi="Garamond"/>
          <w:color w:val="000000" w:themeColor="text1"/>
        </w:rPr>
        <w:t xml:space="preserve">development of </w:t>
      </w:r>
      <w:r w:rsidR="00300350">
        <w:rPr>
          <w:rFonts w:ascii="Garamond" w:hAnsi="Garamond"/>
          <w:color w:val="000000" w:themeColor="text1"/>
        </w:rPr>
        <w:t>E-commerce</w:t>
      </w:r>
      <w:r w:rsidR="00EF5BB7">
        <w:rPr>
          <w:rFonts w:ascii="Garamond" w:hAnsi="Garamond"/>
          <w:color w:val="000000" w:themeColor="text1"/>
        </w:rPr>
        <w:t xml:space="preserve"> ensure</w:t>
      </w:r>
      <w:r w:rsidR="00E616CB">
        <w:rPr>
          <w:rFonts w:ascii="Garamond" w:hAnsi="Garamond"/>
          <w:color w:val="000000" w:themeColor="text1"/>
        </w:rPr>
        <w:t>s</w:t>
      </w:r>
      <w:r w:rsidR="00EF5BB7">
        <w:rPr>
          <w:rFonts w:ascii="Garamond" w:hAnsi="Garamond"/>
          <w:color w:val="000000" w:themeColor="text1"/>
        </w:rPr>
        <w:t xml:space="preserve"> Ulta’s future </w:t>
      </w:r>
      <w:r w:rsidR="009A2271">
        <w:rPr>
          <w:rFonts w:ascii="Garamond" w:hAnsi="Garamond"/>
          <w:color w:val="000000" w:themeColor="text1"/>
        </w:rPr>
        <w:t>growth.</w:t>
      </w:r>
    </w:p>
    <w:p w14:paraId="7473EBF2" w14:textId="14162A92" w:rsidR="00AC413B" w:rsidRPr="001633C7" w:rsidRDefault="00AC413B" w:rsidP="00406B11">
      <w:pPr>
        <w:pStyle w:val="ListParagraph"/>
        <w:numPr>
          <w:ilvl w:val="0"/>
          <w:numId w:val="13"/>
        </w:numPr>
        <w:rPr>
          <w:rFonts w:ascii="Garamond" w:hAnsi="Garamond"/>
          <w:color w:val="F57B38"/>
          <w:sz w:val="28"/>
          <w:szCs w:val="28"/>
        </w:rPr>
      </w:pPr>
      <w:r>
        <w:rPr>
          <w:rFonts w:ascii="Garamond" w:hAnsi="Garamond"/>
          <w:color w:val="000000" w:themeColor="text1"/>
        </w:rPr>
        <w:t>Ulta’s premier loyalty program</w:t>
      </w:r>
      <w:r w:rsidR="006B795F">
        <w:rPr>
          <w:rFonts w:ascii="Garamond" w:hAnsi="Garamond"/>
          <w:color w:val="000000" w:themeColor="text1"/>
        </w:rPr>
        <w:t xml:space="preserve">, made up of </w:t>
      </w:r>
      <w:r w:rsidR="008E3B8B">
        <w:rPr>
          <w:rFonts w:ascii="Garamond" w:hAnsi="Garamond"/>
          <w:color w:val="000000" w:themeColor="text1"/>
        </w:rPr>
        <w:t>42.2 million</w:t>
      </w:r>
      <w:r w:rsidR="00EF5D4C">
        <w:rPr>
          <w:rFonts w:ascii="Garamond" w:hAnsi="Garamond"/>
          <w:color w:val="000000" w:themeColor="text1"/>
        </w:rPr>
        <w:t xml:space="preserve"> members</w:t>
      </w:r>
      <w:r w:rsidR="00B843FB">
        <w:rPr>
          <w:rFonts w:ascii="Garamond" w:hAnsi="Garamond"/>
          <w:color w:val="000000" w:themeColor="text1"/>
        </w:rPr>
        <w:t>, provides a considerable competitive advantage</w:t>
      </w:r>
      <w:r w:rsidR="00D34F20">
        <w:rPr>
          <w:rFonts w:ascii="Garamond" w:hAnsi="Garamond"/>
          <w:color w:val="000000" w:themeColor="text1"/>
        </w:rPr>
        <w:t xml:space="preserve"> within a growing industry</w:t>
      </w:r>
      <w:r w:rsidR="00F5468F">
        <w:rPr>
          <w:rFonts w:ascii="Garamond" w:hAnsi="Garamond"/>
          <w:color w:val="000000" w:themeColor="text1"/>
        </w:rPr>
        <w:t>.</w:t>
      </w:r>
    </w:p>
    <w:p w14:paraId="6AF1806F" w14:textId="659EA158" w:rsidR="001633C7" w:rsidRPr="00D76A1F" w:rsidRDefault="00D408AD" w:rsidP="00406B11">
      <w:pPr>
        <w:pStyle w:val="ListParagraph"/>
        <w:numPr>
          <w:ilvl w:val="0"/>
          <w:numId w:val="13"/>
        </w:numPr>
        <w:rPr>
          <w:rFonts w:ascii="Garamond" w:hAnsi="Garamond"/>
          <w:color w:val="F57B38"/>
          <w:sz w:val="28"/>
          <w:szCs w:val="28"/>
        </w:rPr>
      </w:pPr>
      <w:r>
        <w:rPr>
          <w:rFonts w:ascii="Garamond" w:hAnsi="Garamond"/>
          <w:color w:val="000000" w:themeColor="text1"/>
        </w:rPr>
        <w:t>Steady margins</w:t>
      </w:r>
      <w:r w:rsidR="00292463">
        <w:rPr>
          <w:rFonts w:ascii="Garamond" w:hAnsi="Garamond"/>
          <w:color w:val="000000" w:themeColor="text1"/>
        </w:rPr>
        <w:t xml:space="preserve"> and other growth factors</w:t>
      </w:r>
      <w:r w:rsidR="00BD2B00">
        <w:rPr>
          <w:rFonts w:ascii="Garamond" w:hAnsi="Garamond"/>
          <w:color w:val="000000" w:themeColor="text1"/>
        </w:rPr>
        <w:t xml:space="preserve"> </w:t>
      </w:r>
      <w:r w:rsidR="00727C64">
        <w:rPr>
          <w:rFonts w:ascii="Garamond" w:hAnsi="Garamond"/>
          <w:color w:val="000000" w:themeColor="text1"/>
        </w:rPr>
        <w:t xml:space="preserve">contribute to a target price of </w:t>
      </w:r>
      <w:r w:rsidR="006A6B13">
        <w:rPr>
          <w:rFonts w:ascii="Garamond" w:hAnsi="Garamond"/>
          <w:color w:val="000000" w:themeColor="text1"/>
        </w:rPr>
        <w:t>$453.93 (</w:t>
      </w:r>
      <w:r w:rsidR="001C1E6F">
        <w:rPr>
          <w:rFonts w:ascii="Garamond" w:hAnsi="Garamond"/>
          <w:color w:val="000000" w:themeColor="text1"/>
        </w:rPr>
        <w:t>22.81</w:t>
      </w:r>
      <w:r w:rsidR="00F300E2">
        <w:rPr>
          <w:rFonts w:ascii="Garamond" w:hAnsi="Garamond"/>
          <w:color w:val="000000" w:themeColor="text1"/>
        </w:rPr>
        <w:t>% upside).</w:t>
      </w:r>
    </w:p>
    <w:p w14:paraId="13166722" w14:textId="24C6382E" w:rsidR="00D76A1F" w:rsidRDefault="00A3170B" w:rsidP="00D76A1F">
      <w:pPr>
        <w:jc w:val="center"/>
        <w:rPr>
          <w:rFonts w:ascii="Garamond" w:hAnsi="Garamond"/>
          <w:color w:val="F57B38"/>
          <w:sz w:val="28"/>
          <w:szCs w:val="28"/>
        </w:rPr>
      </w:pPr>
      <w:r w:rsidRPr="00A3170B">
        <w:rPr>
          <w:noProof/>
        </w:rPr>
        <w:drawing>
          <wp:inline distT="0" distB="0" distL="0" distR="0" wp14:anchorId="1DF70A87" wp14:editId="05C3EF9B">
            <wp:extent cx="4850872" cy="3285641"/>
            <wp:effectExtent l="0" t="0" r="6985" b="0"/>
            <wp:docPr id="1914467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6074" cy="3295937"/>
                    </a:xfrm>
                    <a:prstGeom prst="rect">
                      <a:avLst/>
                    </a:prstGeom>
                    <a:noFill/>
                    <a:ln>
                      <a:noFill/>
                    </a:ln>
                  </pic:spPr>
                </pic:pic>
              </a:graphicData>
            </a:graphic>
          </wp:inline>
        </w:drawing>
      </w:r>
    </w:p>
    <w:p w14:paraId="0E91FEC4" w14:textId="7912B6C5" w:rsidR="00C26783" w:rsidRPr="00CD04AA" w:rsidRDefault="00C26783" w:rsidP="00C26783">
      <w:pPr>
        <w:jc w:val="center"/>
        <w:rPr>
          <w:rFonts w:ascii="Garamond" w:hAnsi="Garamond"/>
          <w:sz w:val="18"/>
          <w:szCs w:val="18"/>
        </w:rPr>
      </w:pPr>
      <w:r>
        <w:rPr>
          <w:rFonts w:ascii="Garamond" w:hAnsi="Garamond"/>
          <w:sz w:val="18"/>
          <w:szCs w:val="18"/>
        </w:rPr>
        <w:t>Figure 1</w:t>
      </w:r>
      <w:r w:rsidR="00CD433A">
        <w:rPr>
          <w:rFonts w:ascii="Garamond" w:hAnsi="Garamond"/>
          <w:sz w:val="18"/>
          <w:szCs w:val="18"/>
        </w:rPr>
        <w:t xml:space="preserve"> (all $ in Millions</w:t>
      </w:r>
      <w:r w:rsidR="00A36E3A">
        <w:rPr>
          <w:rFonts w:ascii="Garamond" w:hAnsi="Garamond"/>
          <w:sz w:val="18"/>
          <w:szCs w:val="18"/>
        </w:rPr>
        <w:t xml:space="preserve"> besides EPS and Price</w:t>
      </w:r>
      <w:r w:rsidR="00CD433A">
        <w:rPr>
          <w:rFonts w:ascii="Garamond" w:hAnsi="Garamond"/>
          <w:sz w:val="18"/>
          <w:szCs w:val="18"/>
        </w:rPr>
        <w:t>)</w:t>
      </w:r>
    </w:p>
    <w:p w14:paraId="53B0CFFA" w14:textId="62565D84" w:rsidR="008F032A" w:rsidRPr="00074D65" w:rsidRDefault="008F032A" w:rsidP="008F032A">
      <w:pPr>
        <w:rPr>
          <w:rFonts w:ascii="Garamond" w:hAnsi="Garamond"/>
          <w:b/>
          <w:bCs/>
          <w:color w:val="F57B38"/>
          <w:sz w:val="28"/>
          <w:szCs w:val="28"/>
        </w:rPr>
      </w:pPr>
      <w:r>
        <w:rPr>
          <w:rFonts w:ascii="Garamond" w:hAnsi="Garamond"/>
          <w:b/>
          <w:bCs/>
          <w:color w:val="F57B38"/>
          <w:sz w:val="28"/>
          <w:szCs w:val="28"/>
        </w:rPr>
        <w:t>Company Overview</w:t>
      </w:r>
    </w:p>
    <w:p w14:paraId="084F65C3" w14:textId="36E24178" w:rsidR="00132EF0" w:rsidRDefault="001B5229" w:rsidP="008F032A">
      <w:pPr>
        <w:rPr>
          <w:rFonts w:ascii="Garamond" w:hAnsi="Garamond"/>
        </w:rPr>
      </w:pPr>
      <w:r w:rsidRPr="00D14C31">
        <w:rPr>
          <w:rFonts w:ascii="Garamond" w:hAnsi="Garamond"/>
          <w:b/>
          <w:bCs/>
        </w:rPr>
        <w:t xml:space="preserve">Ulta </w:t>
      </w:r>
      <w:r w:rsidR="007F5CDB">
        <w:rPr>
          <w:rFonts w:ascii="Garamond" w:hAnsi="Garamond"/>
          <w:b/>
          <w:bCs/>
        </w:rPr>
        <w:t>B</w:t>
      </w:r>
      <w:r w:rsidRPr="00D14C31">
        <w:rPr>
          <w:rFonts w:ascii="Garamond" w:hAnsi="Garamond"/>
          <w:b/>
          <w:bCs/>
        </w:rPr>
        <w:t xml:space="preserve">usiness </w:t>
      </w:r>
      <w:r w:rsidR="007F5CDB">
        <w:rPr>
          <w:rFonts w:ascii="Garamond" w:hAnsi="Garamond"/>
          <w:b/>
          <w:bCs/>
        </w:rPr>
        <w:t>S</w:t>
      </w:r>
      <w:r w:rsidR="00132EF0">
        <w:rPr>
          <w:rFonts w:ascii="Garamond" w:hAnsi="Garamond"/>
          <w:b/>
          <w:bCs/>
        </w:rPr>
        <w:t>ummary</w:t>
      </w:r>
    </w:p>
    <w:p w14:paraId="27DB394B" w14:textId="14A377B0" w:rsidR="00132EF0" w:rsidRDefault="00757196" w:rsidP="004964E5">
      <w:pPr>
        <w:rPr>
          <w:rFonts w:ascii="Garamond" w:hAnsi="Garamond"/>
        </w:rPr>
      </w:pPr>
      <w:r w:rsidRPr="00757196">
        <w:rPr>
          <w:rFonts w:ascii="Garamond" w:hAnsi="Garamond"/>
        </w:rPr>
        <w:t xml:space="preserve">For the past 30 years, Ulta has served as a specialty retailer of beauty products within the United States. </w:t>
      </w:r>
      <w:r w:rsidR="0091647F">
        <w:rPr>
          <w:rFonts w:ascii="Garamond" w:hAnsi="Garamond"/>
        </w:rPr>
        <w:t>By o</w:t>
      </w:r>
      <w:r w:rsidR="00CC0E6B">
        <w:rPr>
          <w:rFonts w:ascii="Garamond" w:hAnsi="Garamond"/>
        </w:rPr>
        <w:t>ffering</w:t>
      </w:r>
      <w:r w:rsidRPr="00757196">
        <w:rPr>
          <w:rFonts w:ascii="Garamond" w:hAnsi="Garamond"/>
        </w:rPr>
        <w:t xml:space="preserve"> a broad range of products including cosmetics, fragrances, skincare</w:t>
      </w:r>
      <w:r w:rsidR="000F1F23">
        <w:rPr>
          <w:rFonts w:ascii="Garamond" w:hAnsi="Garamond"/>
        </w:rPr>
        <w:t>,</w:t>
      </w:r>
      <w:r w:rsidRPr="00757196">
        <w:rPr>
          <w:rFonts w:ascii="Garamond" w:hAnsi="Garamond"/>
        </w:rPr>
        <w:t xml:space="preserve"> and haircare products</w:t>
      </w:r>
      <w:r w:rsidR="0091647F">
        <w:rPr>
          <w:rFonts w:ascii="Garamond" w:hAnsi="Garamond"/>
        </w:rPr>
        <w:t>, a</w:t>
      </w:r>
      <w:r w:rsidRPr="00757196">
        <w:rPr>
          <w:rFonts w:ascii="Garamond" w:hAnsi="Garamond"/>
        </w:rPr>
        <w:t>long with salon services within its stores</w:t>
      </w:r>
      <w:r w:rsidR="00E904E9">
        <w:rPr>
          <w:rFonts w:ascii="Garamond" w:hAnsi="Garamond"/>
        </w:rPr>
        <w:t>, Ulta has been able to disrupt the beauty industry</w:t>
      </w:r>
      <w:r w:rsidR="000B1741">
        <w:rPr>
          <w:rFonts w:ascii="Garamond" w:hAnsi="Garamond"/>
        </w:rPr>
        <w:t>,</w:t>
      </w:r>
      <w:r w:rsidR="00E904E9">
        <w:rPr>
          <w:rFonts w:ascii="Garamond" w:hAnsi="Garamond"/>
        </w:rPr>
        <w:t xml:space="preserve"> all the while providing an accessible and unique shopping experience</w:t>
      </w:r>
      <w:r w:rsidRPr="00757196">
        <w:rPr>
          <w:rFonts w:ascii="Garamond" w:hAnsi="Garamond"/>
        </w:rPr>
        <w:t xml:space="preserve">. </w:t>
      </w:r>
      <w:r w:rsidR="0050571F">
        <w:rPr>
          <w:rFonts w:ascii="Garamond" w:hAnsi="Garamond"/>
        </w:rPr>
        <w:t>Additionally, Ulta</w:t>
      </w:r>
      <w:r w:rsidRPr="00757196">
        <w:rPr>
          <w:rFonts w:ascii="Garamond" w:hAnsi="Garamond"/>
        </w:rPr>
        <w:t xml:space="preserve"> </w:t>
      </w:r>
      <w:r w:rsidR="00DD68DE">
        <w:rPr>
          <w:rFonts w:ascii="Garamond" w:hAnsi="Garamond"/>
        </w:rPr>
        <w:t xml:space="preserve">carries </w:t>
      </w:r>
      <w:r w:rsidR="00523BE3">
        <w:rPr>
          <w:rFonts w:ascii="Garamond" w:hAnsi="Garamond"/>
        </w:rPr>
        <w:t>their</w:t>
      </w:r>
      <w:r w:rsidRPr="00757196">
        <w:rPr>
          <w:rFonts w:ascii="Garamond" w:hAnsi="Garamond"/>
        </w:rPr>
        <w:t xml:space="preserve"> wide range of </w:t>
      </w:r>
      <w:r w:rsidR="00C20A7D" w:rsidRPr="00757196">
        <w:rPr>
          <w:rFonts w:ascii="Garamond" w:hAnsi="Garamond"/>
        </w:rPr>
        <w:t>products</w:t>
      </w:r>
      <w:r w:rsidR="00C20A7D">
        <w:rPr>
          <w:rFonts w:ascii="Garamond" w:hAnsi="Garamond"/>
        </w:rPr>
        <w:t xml:space="preserve"> at</w:t>
      </w:r>
      <w:r w:rsidR="00DD68DE">
        <w:rPr>
          <w:rFonts w:ascii="Garamond" w:hAnsi="Garamond"/>
        </w:rPr>
        <w:t xml:space="preserve"> each stage of luxury</w:t>
      </w:r>
      <w:r w:rsidRPr="00757196">
        <w:rPr>
          <w:rFonts w:ascii="Garamond" w:hAnsi="Garamond"/>
        </w:rPr>
        <w:t>,</w:t>
      </w:r>
      <w:r w:rsidR="00F87818">
        <w:rPr>
          <w:rFonts w:ascii="Garamond" w:hAnsi="Garamond"/>
        </w:rPr>
        <w:t xml:space="preserve"> whether it be</w:t>
      </w:r>
      <w:r w:rsidRPr="00757196">
        <w:rPr>
          <w:rFonts w:ascii="Garamond" w:hAnsi="Garamond"/>
        </w:rPr>
        <w:t xml:space="preserve"> mass, prestige, </w:t>
      </w:r>
      <w:r w:rsidR="004C56A7">
        <w:rPr>
          <w:rFonts w:ascii="Garamond" w:hAnsi="Garamond"/>
        </w:rPr>
        <w:t>or</w:t>
      </w:r>
      <w:r w:rsidRPr="00757196">
        <w:rPr>
          <w:rFonts w:ascii="Garamond" w:hAnsi="Garamond"/>
        </w:rPr>
        <w:t xml:space="preserve"> luxury brands</w:t>
      </w:r>
      <w:r w:rsidR="00E631C7">
        <w:rPr>
          <w:rFonts w:ascii="Garamond" w:hAnsi="Garamond"/>
        </w:rPr>
        <w:t>, and</w:t>
      </w:r>
      <w:r w:rsidR="003D2CDA">
        <w:rPr>
          <w:rFonts w:ascii="Garamond" w:hAnsi="Garamond"/>
        </w:rPr>
        <w:t xml:space="preserve"> </w:t>
      </w:r>
      <w:r w:rsidR="00E631C7">
        <w:rPr>
          <w:rFonts w:ascii="Garamond" w:hAnsi="Garamond"/>
        </w:rPr>
        <w:t>a</w:t>
      </w:r>
      <w:r w:rsidR="003D2CDA">
        <w:rPr>
          <w:rFonts w:ascii="Garamond" w:hAnsi="Garamond"/>
        </w:rPr>
        <w:t>s a result,</w:t>
      </w:r>
      <w:r w:rsidR="004C56A7">
        <w:rPr>
          <w:rFonts w:ascii="Garamond" w:hAnsi="Garamond"/>
        </w:rPr>
        <w:t xml:space="preserve"> Ulta can meet every customer at their unique price point.</w:t>
      </w:r>
      <w:r w:rsidRPr="00757196">
        <w:rPr>
          <w:rFonts w:ascii="Garamond" w:hAnsi="Garamond"/>
        </w:rPr>
        <w:t xml:space="preserve"> As a testament to </w:t>
      </w:r>
      <w:r w:rsidR="003D2CDA">
        <w:rPr>
          <w:rFonts w:ascii="Garamond" w:hAnsi="Garamond"/>
        </w:rPr>
        <w:t>Ulta’s</w:t>
      </w:r>
      <w:r w:rsidRPr="00757196">
        <w:rPr>
          <w:rFonts w:ascii="Garamond" w:hAnsi="Garamond"/>
        </w:rPr>
        <w:t xml:space="preserve"> success, Ulta has been able to expand across all 50 states with approximately 1,385 stores, with the goal of expanding to 1,500-1,700 stores nationally.</w:t>
      </w:r>
    </w:p>
    <w:p w14:paraId="171E7203" w14:textId="319969E0" w:rsidR="00ED4428" w:rsidRDefault="00ED4428" w:rsidP="00ED4428">
      <w:pPr>
        <w:rPr>
          <w:rFonts w:ascii="Garamond" w:hAnsi="Garamond"/>
          <w:b/>
          <w:bCs/>
        </w:rPr>
      </w:pPr>
      <w:r>
        <w:rPr>
          <w:rFonts w:ascii="Garamond" w:hAnsi="Garamond"/>
          <w:b/>
          <w:bCs/>
        </w:rPr>
        <w:t>Current Management</w:t>
      </w:r>
    </w:p>
    <w:p w14:paraId="4592D813" w14:textId="6F9250F5" w:rsidR="00644508" w:rsidRPr="00644508" w:rsidRDefault="00644508" w:rsidP="00644508">
      <w:pPr>
        <w:rPr>
          <w:rFonts w:ascii="Garamond" w:hAnsi="Garamond"/>
        </w:rPr>
      </w:pPr>
      <w:r w:rsidRPr="00644508">
        <w:rPr>
          <w:rFonts w:ascii="Garamond" w:hAnsi="Garamond"/>
        </w:rPr>
        <w:t>David Kimbell stepped in as</w:t>
      </w:r>
      <w:r w:rsidR="00C8598D">
        <w:rPr>
          <w:rFonts w:ascii="Garamond" w:hAnsi="Garamond"/>
        </w:rPr>
        <w:t xml:space="preserve"> Ulta</w:t>
      </w:r>
      <w:r w:rsidR="002F3EF2">
        <w:rPr>
          <w:rFonts w:ascii="Garamond" w:hAnsi="Garamond"/>
        </w:rPr>
        <w:t>’s</w:t>
      </w:r>
      <w:r w:rsidRPr="00644508">
        <w:rPr>
          <w:rFonts w:ascii="Garamond" w:hAnsi="Garamond"/>
        </w:rPr>
        <w:t xml:space="preserve"> CEO in 2021, following a prior two-year period as president, and </w:t>
      </w:r>
      <w:r w:rsidR="00442BFB">
        <w:rPr>
          <w:rFonts w:ascii="Garamond" w:hAnsi="Garamond"/>
        </w:rPr>
        <w:t>five years</w:t>
      </w:r>
      <w:r w:rsidRPr="00644508">
        <w:rPr>
          <w:rFonts w:ascii="Garamond" w:hAnsi="Garamond"/>
        </w:rPr>
        <w:t xml:space="preserve"> as </w:t>
      </w:r>
      <w:r w:rsidR="00ED7CB0">
        <w:rPr>
          <w:rFonts w:ascii="Garamond" w:hAnsi="Garamond"/>
        </w:rPr>
        <w:t>C</w:t>
      </w:r>
      <w:r w:rsidRPr="00644508">
        <w:rPr>
          <w:rFonts w:ascii="Garamond" w:hAnsi="Garamond"/>
        </w:rPr>
        <w:t xml:space="preserve">hief </w:t>
      </w:r>
      <w:r w:rsidR="00ED7CB0">
        <w:rPr>
          <w:rFonts w:ascii="Garamond" w:hAnsi="Garamond"/>
        </w:rPr>
        <w:t>M</w:t>
      </w:r>
      <w:r w:rsidRPr="00644508">
        <w:rPr>
          <w:rFonts w:ascii="Garamond" w:hAnsi="Garamond"/>
        </w:rPr>
        <w:t xml:space="preserve">arketing and </w:t>
      </w:r>
      <w:r w:rsidR="00ED7CB0">
        <w:rPr>
          <w:rFonts w:ascii="Garamond" w:hAnsi="Garamond"/>
        </w:rPr>
        <w:t>M</w:t>
      </w:r>
      <w:r w:rsidRPr="00644508">
        <w:rPr>
          <w:rFonts w:ascii="Garamond" w:hAnsi="Garamond"/>
        </w:rPr>
        <w:t xml:space="preserve">erchandising </w:t>
      </w:r>
      <w:r w:rsidR="00ED7CB0">
        <w:rPr>
          <w:rFonts w:ascii="Garamond" w:hAnsi="Garamond"/>
        </w:rPr>
        <w:t>O</w:t>
      </w:r>
      <w:r w:rsidRPr="00644508">
        <w:rPr>
          <w:rFonts w:ascii="Garamond" w:hAnsi="Garamond"/>
        </w:rPr>
        <w:t xml:space="preserve">fficer </w:t>
      </w:r>
      <w:r w:rsidR="00442BFB">
        <w:rPr>
          <w:rFonts w:ascii="Garamond" w:hAnsi="Garamond"/>
        </w:rPr>
        <w:t>before</w:t>
      </w:r>
      <w:r w:rsidRPr="00644508">
        <w:rPr>
          <w:rFonts w:ascii="Garamond" w:hAnsi="Garamond"/>
        </w:rPr>
        <w:t xml:space="preserve"> that. During Kimbell’s career, he has gained significant Marketing, </w:t>
      </w:r>
      <w:r w:rsidR="00300350">
        <w:rPr>
          <w:rFonts w:ascii="Garamond" w:hAnsi="Garamond"/>
        </w:rPr>
        <w:t>E-commerce</w:t>
      </w:r>
      <w:r w:rsidRPr="00644508">
        <w:rPr>
          <w:rFonts w:ascii="Garamond" w:hAnsi="Garamond"/>
        </w:rPr>
        <w:t>, and Digital/Technology experience through his executive roles at leading retail companies</w:t>
      </w:r>
      <w:r w:rsidR="003B1914">
        <w:rPr>
          <w:rFonts w:ascii="Garamond" w:hAnsi="Garamond"/>
        </w:rPr>
        <w:t>,</w:t>
      </w:r>
      <w:r w:rsidRPr="00644508">
        <w:rPr>
          <w:rFonts w:ascii="Garamond" w:hAnsi="Garamond"/>
        </w:rPr>
        <w:t xml:space="preserve"> includ</w:t>
      </w:r>
      <w:r w:rsidR="003B1914">
        <w:rPr>
          <w:rFonts w:ascii="Garamond" w:hAnsi="Garamond"/>
        </w:rPr>
        <w:t>ing</w:t>
      </w:r>
      <w:r w:rsidRPr="00644508">
        <w:rPr>
          <w:rFonts w:ascii="Garamond" w:hAnsi="Garamond"/>
        </w:rPr>
        <w:t xml:space="preserve"> VP of Marketing at PepsiCo (2001-2008), along with Chief Marketing Officer at U.S. Cellular (2011-2012). Kimbell’s experience in the highlighted </w:t>
      </w:r>
      <w:r w:rsidRPr="00644508">
        <w:rPr>
          <w:rFonts w:ascii="Garamond" w:hAnsi="Garamond"/>
        </w:rPr>
        <w:lastRenderedPageBreak/>
        <w:t xml:space="preserve">areas will prove critical to the future success of Ulta as they counter the short-term demand slowdown and develop an </w:t>
      </w:r>
      <w:r w:rsidR="00300350">
        <w:rPr>
          <w:rFonts w:ascii="Garamond" w:hAnsi="Garamond"/>
        </w:rPr>
        <w:t>E-commerce</w:t>
      </w:r>
      <w:r w:rsidRPr="00644508">
        <w:rPr>
          <w:rFonts w:ascii="Garamond" w:hAnsi="Garamond"/>
        </w:rPr>
        <w:t xml:space="preserve"> platform to enhance the omnichannel shopping experience.</w:t>
      </w:r>
    </w:p>
    <w:p w14:paraId="1898BBC6" w14:textId="245B71B7" w:rsidR="007679FF" w:rsidRDefault="00644508" w:rsidP="00644508">
      <w:pPr>
        <w:rPr>
          <w:noProof/>
        </w:rPr>
      </w:pPr>
      <w:r w:rsidRPr="00644508">
        <w:rPr>
          <w:rFonts w:ascii="Garamond" w:hAnsi="Garamond"/>
        </w:rPr>
        <w:t>To ensure the diligent application of executive expertise such as Kimbell’s, Ulta has developed a compensation package where the guaranteed annual salary, on average, only makes up a quarter of total possible pay</w:t>
      </w:r>
      <w:r w:rsidR="004C2F9C">
        <w:rPr>
          <w:rFonts w:ascii="Garamond" w:hAnsi="Garamond"/>
        </w:rPr>
        <w:t>.</w:t>
      </w:r>
      <w:r w:rsidRPr="00644508">
        <w:rPr>
          <w:rFonts w:ascii="Garamond" w:hAnsi="Garamond"/>
        </w:rPr>
        <w:t xml:space="preserve"> </w:t>
      </w:r>
      <w:r w:rsidR="004C2F9C">
        <w:rPr>
          <w:rFonts w:ascii="Garamond" w:hAnsi="Garamond"/>
        </w:rPr>
        <w:t>W</w:t>
      </w:r>
      <w:r w:rsidRPr="00644508">
        <w:rPr>
          <w:rFonts w:ascii="Garamond" w:hAnsi="Garamond"/>
        </w:rPr>
        <w:t>ithin Kimbell’s package th</w:t>
      </w:r>
      <w:r w:rsidR="00CF6124">
        <w:rPr>
          <w:rFonts w:ascii="Garamond" w:hAnsi="Garamond"/>
        </w:rPr>
        <w:t>e salary</w:t>
      </w:r>
      <w:r w:rsidRPr="00644508">
        <w:rPr>
          <w:rFonts w:ascii="Garamond" w:hAnsi="Garamond"/>
        </w:rPr>
        <w:t xml:space="preserve"> share drops to 11%. Figure 1 outlines the compensation in greater detail.</w:t>
      </w:r>
      <w:r w:rsidR="00CD04AA">
        <w:rPr>
          <w:noProof/>
        </w:rPr>
        <w:drawing>
          <wp:anchor distT="0" distB="0" distL="114300" distR="114300" simplePos="0" relativeHeight="251658240" behindDoc="0" locked="0" layoutInCell="1" allowOverlap="1" wp14:anchorId="397B437F" wp14:editId="48F983DB">
            <wp:simplePos x="0" y="0"/>
            <wp:positionH relativeFrom="column">
              <wp:posOffset>563880</wp:posOffset>
            </wp:positionH>
            <wp:positionV relativeFrom="paragraph">
              <wp:posOffset>505460</wp:posOffset>
            </wp:positionV>
            <wp:extent cx="5737860" cy="2545080"/>
            <wp:effectExtent l="0" t="0" r="0" b="7620"/>
            <wp:wrapTopAndBottom/>
            <wp:docPr id="1364567084" name="Picture 1" descr="A diagram of a pi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67084" name="Picture 1" descr="A diagram of a pie 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7860" cy="2545080"/>
                    </a:xfrm>
                    <a:prstGeom prst="rect">
                      <a:avLst/>
                    </a:prstGeom>
                  </pic:spPr>
                </pic:pic>
              </a:graphicData>
            </a:graphic>
          </wp:anchor>
        </w:drawing>
      </w:r>
    </w:p>
    <w:p w14:paraId="140A183A" w14:textId="398505F1" w:rsidR="00CD04AA" w:rsidRPr="00CD04AA" w:rsidRDefault="00CD04AA" w:rsidP="00CD04AA">
      <w:pPr>
        <w:jc w:val="center"/>
        <w:rPr>
          <w:rFonts w:ascii="Garamond" w:hAnsi="Garamond"/>
          <w:sz w:val="18"/>
          <w:szCs w:val="18"/>
        </w:rPr>
      </w:pPr>
      <w:r>
        <w:rPr>
          <w:rFonts w:ascii="Garamond" w:hAnsi="Garamond"/>
          <w:sz w:val="18"/>
          <w:szCs w:val="18"/>
        </w:rPr>
        <w:t xml:space="preserve">Figure </w:t>
      </w:r>
      <w:r w:rsidR="00C26783">
        <w:rPr>
          <w:rFonts w:ascii="Garamond" w:hAnsi="Garamond"/>
          <w:sz w:val="18"/>
          <w:szCs w:val="18"/>
        </w:rPr>
        <w:t>2</w:t>
      </w:r>
      <w:r w:rsidR="00960553">
        <w:rPr>
          <w:rFonts w:ascii="Garamond" w:hAnsi="Garamond"/>
          <w:sz w:val="18"/>
          <w:szCs w:val="18"/>
        </w:rPr>
        <w:t xml:space="preserve"> (NEO = Named Executive Officer)</w:t>
      </w:r>
    </w:p>
    <w:p w14:paraId="55C3B676" w14:textId="77777777" w:rsidR="00D85B1B" w:rsidRDefault="00D85B1B" w:rsidP="00D85B1B">
      <w:pPr>
        <w:rPr>
          <w:rFonts w:ascii="Garamond" w:hAnsi="Garamond"/>
        </w:rPr>
      </w:pPr>
    </w:p>
    <w:p w14:paraId="677C78C2" w14:textId="69F1B7F2" w:rsidR="00E10EAC" w:rsidRPr="00E10EAC" w:rsidRDefault="00E10EAC" w:rsidP="00E10EAC">
      <w:pPr>
        <w:rPr>
          <w:rFonts w:ascii="Garamond" w:hAnsi="Garamond"/>
        </w:rPr>
      </w:pPr>
      <w:r w:rsidRPr="00E10EAC">
        <w:rPr>
          <w:rFonts w:ascii="Garamond" w:hAnsi="Garamond"/>
        </w:rPr>
        <w:t>With performance-based</w:t>
      </w:r>
      <w:r w:rsidR="004F6AE9">
        <w:rPr>
          <w:rFonts w:ascii="Garamond" w:hAnsi="Garamond"/>
        </w:rPr>
        <w:t xml:space="preserve"> </w:t>
      </w:r>
      <w:r w:rsidR="004F6AE9" w:rsidRPr="00E10EAC">
        <w:rPr>
          <w:rFonts w:ascii="Garamond" w:hAnsi="Garamond"/>
        </w:rPr>
        <w:t>incentives being based on annual EBT (earnings before taxes) goals set by the Board of Directors</w:t>
      </w:r>
      <w:r w:rsidR="004F6AE9">
        <w:rPr>
          <w:rFonts w:ascii="Garamond" w:hAnsi="Garamond"/>
        </w:rPr>
        <w:t>, along with the</w:t>
      </w:r>
      <w:r w:rsidR="0006443A">
        <w:rPr>
          <w:rFonts w:ascii="Garamond" w:hAnsi="Garamond"/>
        </w:rPr>
        <w:t xml:space="preserve"> fact that these incentives</w:t>
      </w:r>
      <w:r w:rsidRPr="00E10EAC">
        <w:rPr>
          <w:rFonts w:ascii="Garamond" w:hAnsi="Garamond"/>
        </w:rPr>
        <w:t xml:space="preserve"> constitut</w:t>
      </w:r>
      <w:r w:rsidR="0006443A">
        <w:rPr>
          <w:rFonts w:ascii="Garamond" w:hAnsi="Garamond"/>
        </w:rPr>
        <w:t>e</w:t>
      </w:r>
      <w:r w:rsidRPr="00E10EAC">
        <w:rPr>
          <w:rFonts w:ascii="Garamond" w:hAnsi="Garamond"/>
        </w:rPr>
        <w:t xml:space="preserve"> the majority of Ulta executive's pay package, the financial success of an executive is strongly tied to the financial success of Ulta. Furthermore, each executive is required to carry a minimum number of shares in relation to their base salary. The minimums are as follows:</w:t>
      </w:r>
    </w:p>
    <w:p w14:paraId="407D2963" w14:textId="04FC8B66" w:rsidR="00E23BA4" w:rsidRDefault="00E23BA4" w:rsidP="00E23BA4">
      <w:pPr>
        <w:pStyle w:val="ListParagraph"/>
        <w:numPr>
          <w:ilvl w:val="0"/>
          <w:numId w:val="18"/>
        </w:numPr>
        <w:rPr>
          <w:rFonts w:ascii="Garamond" w:hAnsi="Garamond"/>
        </w:rPr>
      </w:pPr>
      <w:r>
        <w:rPr>
          <w:rFonts w:ascii="Garamond" w:hAnsi="Garamond"/>
        </w:rPr>
        <w:t>2X Base Salary for Chief Non-NEOs</w:t>
      </w:r>
    </w:p>
    <w:p w14:paraId="4DDDBAAE" w14:textId="58FAEAAA" w:rsidR="00E23BA4" w:rsidRDefault="00E672BD" w:rsidP="00E23BA4">
      <w:pPr>
        <w:pStyle w:val="ListParagraph"/>
        <w:numPr>
          <w:ilvl w:val="0"/>
          <w:numId w:val="18"/>
        </w:numPr>
        <w:rPr>
          <w:rFonts w:ascii="Garamond" w:hAnsi="Garamond"/>
        </w:rPr>
      </w:pPr>
      <w:r>
        <w:rPr>
          <w:rFonts w:ascii="Garamond" w:hAnsi="Garamond"/>
        </w:rPr>
        <w:t>3X Base Salary for Other NEOs</w:t>
      </w:r>
    </w:p>
    <w:p w14:paraId="5A5F1DAB" w14:textId="6E4DCC2E" w:rsidR="00E672BD" w:rsidRDefault="00E672BD" w:rsidP="00E23BA4">
      <w:pPr>
        <w:pStyle w:val="ListParagraph"/>
        <w:numPr>
          <w:ilvl w:val="0"/>
          <w:numId w:val="18"/>
        </w:numPr>
        <w:rPr>
          <w:rFonts w:ascii="Garamond" w:hAnsi="Garamond"/>
        </w:rPr>
      </w:pPr>
      <w:r>
        <w:rPr>
          <w:rFonts w:ascii="Garamond" w:hAnsi="Garamond"/>
        </w:rPr>
        <w:t>6X Base Salary for the CEO</w:t>
      </w:r>
    </w:p>
    <w:p w14:paraId="5E45277F" w14:textId="08862B74" w:rsidR="00F300E2" w:rsidRPr="00553244" w:rsidRDefault="00021638" w:rsidP="00EA78A7">
      <w:pPr>
        <w:rPr>
          <w:rFonts w:ascii="Garamond" w:hAnsi="Garamond"/>
        </w:rPr>
      </w:pPr>
      <w:r>
        <w:rPr>
          <w:rFonts w:ascii="Garamond" w:hAnsi="Garamond"/>
        </w:rPr>
        <w:t xml:space="preserve">These </w:t>
      </w:r>
      <w:r w:rsidR="00AD1F3E">
        <w:rPr>
          <w:rFonts w:ascii="Garamond" w:hAnsi="Garamond"/>
        </w:rPr>
        <w:t xml:space="preserve">required </w:t>
      </w:r>
      <w:proofErr w:type="gramStart"/>
      <w:r w:rsidR="00AD1F3E">
        <w:rPr>
          <w:rFonts w:ascii="Garamond" w:hAnsi="Garamond"/>
        </w:rPr>
        <w:t>share</w:t>
      </w:r>
      <w:r w:rsidR="00904B0B">
        <w:rPr>
          <w:rFonts w:ascii="Garamond" w:hAnsi="Garamond"/>
        </w:rPr>
        <w:t>-</w:t>
      </w:r>
      <w:r w:rsidR="00AD1F3E">
        <w:rPr>
          <w:rFonts w:ascii="Garamond" w:hAnsi="Garamond"/>
        </w:rPr>
        <w:t>holding</w:t>
      </w:r>
      <w:proofErr w:type="gramEnd"/>
      <w:r w:rsidR="00AD1F3E">
        <w:rPr>
          <w:rFonts w:ascii="Garamond" w:hAnsi="Garamond"/>
        </w:rPr>
        <w:t xml:space="preserve"> amounts further increase the share of performance-based compensation within each </w:t>
      </w:r>
      <w:r w:rsidR="00EA78A7">
        <w:rPr>
          <w:rFonts w:ascii="Garamond" w:hAnsi="Garamond"/>
        </w:rPr>
        <w:t>executive’s</w:t>
      </w:r>
      <w:r w:rsidR="00AD1F3E">
        <w:rPr>
          <w:rFonts w:ascii="Garamond" w:hAnsi="Garamond"/>
        </w:rPr>
        <w:t xml:space="preserve"> </w:t>
      </w:r>
      <w:r w:rsidR="00040BF4">
        <w:rPr>
          <w:rFonts w:ascii="Garamond" w:hAnsi="Garamond"/>
        </w:rPr>
        <w:t>contract</w:t>
      </w:r>
      <w:r w:rsidR="00D82EB5">
        <w:rPr>
          <w:rFonts w:ascii="Garamond" w:hAnsi="Garamond"/>
        </w:rPr>
        <w:t xml:space="preserve">, outlining the clear </w:t>
      </w:r>
      <w:r w:rsidR="00F726F6">
        <w:rPr>
          <w:rFonts w:ascii="Garamond" w:hAnsi="Garamond"/>
        </w:rPr>
        <w:t>incentives each executiv</w:t>
      </w:r>
      <w:r w:rsidR="00EA78A7">
        <w:rPr>
          <w:rFonts w:ascii="Garamond" w:hAnsi="Garamond"/>
        </w:rPr>
        <w:t>e</w:t>
      </w:r>
      <w:r w:rsidR="00F726F6">
        <w:rPr>
          <w:rFonts w:ascii="Garamond" w:hAnsi="Garamond"/>
        </w:rPr>
        <w:t xml:space="preserve"> has toward</w:t>
      </w:r>
      <w:r w:rsidR="004222DE">
        <w:rPr>
          <w:rFonts w:ascii="Garamond" w:hAnsi="Garamond"/>
        </w:rPr>
        <w:t xml:space="preserve"> pursuing and</w:t>
      </w:r>
      <w:r w:rsidR="00EA78A7">
        <w:rPr>
          <w:rFonts w:ascii="Garamond" w:hAnsi="Garamond"/>
        </w:rPr>
        <w:t xml:space="preserve"> maintaining future growth.</w:t>
      </w:r>
    </w:p>
    <w:p w14:paraId="1B954461" w14:textId="77777777" w:rsidR="00927792" w:rsidRDefault="001B5229" w:rsidP="00927792">
      <w:pPr>
        <w:rPr>
          <w:rFonts w:ascii="Garamond" w:hAnsi="Garamond"/>
          <w:b/>
          <w:bCs/>
          <w:color w:val="E57337"/>
          <w:sz w:val="28"/>
          <w:szCs w:val="28"/>
        </w:rPr>
      </w:pPr>
      <w:r w:rsidRPr="00927792">
        <w:rPr>
          <w:rFonts w:ascii="Garamond" w:hAnsi="Garamond"/>
          <w:b/>
          <w:bCs/>
          <w:color w:val="E57337"/>
          <w:sz w:val="28"/>
          <w:szCs w:val="28"/>
        </w:rPr>
        <w:t>Future Growth Opportunities</w:t>
      </w:r>
    </w:p>
    <w:p w14:paraId="7322B29A" w14:textId="40183CFA" w:rsidR="007F5CDB" w:rsidRDefault="00A959E6" w:rsidP="00927792">
      <w:pPr>
        <w:rPr>
          <w:rFonts w:ascii="Garamond" w:hAnsi="Garamond"/>
          <w:color w:val="E57337"/>
          <w:sz w:val="28"/>
          <w:szCs w:val="28"/>
        </w:rPr>
      </w:pPr>
      <w:r>
        <w:rPr>
          <w:rFonts w:ascii="Garamond" w:hAnsi="Garamond"/>
        </w:rPr>
        <w:t xml:space="preserve">As we will explore </w:t>
      </w:r>
      <w:r w:rsidR="002A3C9F">
        <w:rPr>
          <w:rFonts w:ascii="Garamond" w:hAnsi="Garamond"/>
        </w:rPr>
        <w:t>later</w:t>
      </w:r>
      <w:r w:rsidR="00423B09">
        <w:rPr>
          <w:rFonts w:ascii="Garamond" w:hAnsi="Garamond"/>
        </w:rPr>
        <w:t>, f</w:t>
      </w:r>
      <w:r w:rsidR="007F5CDB">
        <w:rPr>
          <w:rFonts w:ascii="Garamond" w:hAnsi="Garamond"/>
        </w:rPr>
        <w:t>uture runway for</w:t>
      </w:r>
      <w:r w:rsidR="00423B09">
        <w:rPr>
          <w:rFonts w:ascii="Garamond" w:hAnsi="Garamond"/>
        </w:rPr>
        <w:t xml:space="preserve"> all</w:t>
      </w:r>
      <w:r w:rsidR="007F5CDB">
        <w:rPr>
          <w:rFonts w:ascii="Garamond" w:hAnsi="Garamond"/>
        </w:rPr>
        <w:t xml:space="preserve"> </w:t>
      </w:r>
      <w:r w:rsidR="00423B09">
        <w:rPr>
          <w:rFonts w:ascii="Garamond" w:hAnsi="Garamond"/>
        </w:rPr>
        <w:t>b</w:t>
      </w:r>
      <w:r w:rsidR="007F5CDB">
        <w:rPr>
          <w:rFonts w:ascii="Garamond" w:hAnsi="Garamond"/>
        </w:rPr>
        <w:t xml:space="preserve">eauty industry </w:t>
      </w:r>
      <w:r w:rsidR="00423B09">
        <w:rPr>
          <w:rFonts w:ascii="Garamond" w:hAnsi="Garamond"/>
        </w:rPr>
        <w:t xml:space="preserve">participants </w:t>
      </w:r>
      <w:r w:rsidR="007F5CDB">
        <w:rPr>
          <w:rFonts w:ascii="Garamond" w:hAnsi="Garamond"/>
        </w:rPr>
        <w:t>holds promise</w:t>
      </w:r>
      <w:r w:rsidR="0010759E">
        <w:rPr>
          <w:rFonts w:ascii="Garamond" w:hAnsi="Garamond"/>
        </w:rPr>
        <w:t>,</w:t>
      </w:r>
      <w:r w:rsidR="007F5CDB">
        <w:rPr>
          <w:rFonts w:ascii="Garamond" w:hAnsi="Garamond"/>
        </w:rPr>
        <w:t xml:space="preserve"> and while</w:t>
      </w:r>
      <w:r w:rsidR="008D596C">
        <w:rPr>
          <w:rFonts w:ascii="Garamond" w:hAnsi="Garamond"/>
        </w:rPr>
        <w:t xml:space="preserve"> Ulta </w:t>
      </w:r>
      <w:r w:rsidR="007F5CDB">
        <w:rPr>
          <w:rFonts w:ascii="Garamond" w:hAnsi="Garamond"/>
        </w:rPr>
        <w:t xml:space="preserve">is positioned well to take advantage of </w:t>
      </w:r>
      <w:r w:rsidR="0010759E">
        <w:rPr>
          <w:rFonts w:ascii="Garamond" w:hAnsi="Garamond"/>
        </w:rPr>
        <w:t>future</w:t>
      </w:r>
      <w:r w:rsidR="007F5CDB">
        <w:rPr>
          <w:rFonts w:ascii="Garamond" w:hAnsi="Garamond"/>
        </w:rPr>
        <w:t xml:space="preserve"> industry trends, we will </w:t>
      </w:r>
      <w:r w:rsidR="0010759E">
        <w:rPr>
          <w:rFonts w:ascii="Garamond" w:hAnsi="Garamond"/>
        </w:rPr>
        <w:t>first</w:t>
      </w:r>
      <w:r w:rsidR="007F5CDB">
        <w:rPr>
          <w:rFonts w:ascii="Garamond" w:hAnsi="Garamond"/>
        </w:rPr>
        <w:t xml:space="preserve"> turn our focus to how they </w:t>
      </w:r>
      <w:r w:rsidR="00DE545D">
        <w:rPr>
          <w:rFonts w:ascii="Garamond" w:hAnsi="Garamond"/>
        </w:rPr>
        <w:t>will</w:t>
      </w:r>
      <w:r w:rsidR="007F5CDB">
        <w:rPr>
          <w:rFonts w:ascii="Garamond" w:hAnsi="Garamond"/>
        </w:rPr>
        <w:t xml:space="preserve"> </w:t>
      </w:r>
      <w:r w:rsidR="00DE545D">
        <w:rPr>
          <w:rFonts w:ascii="Garamond" w:hAnsi="Garamond"/>
        </w:rPr>
        <w:t>outcompete</w:t>
      </w:r>
      <w:r w:rsidR="007F5CDB">
        <w:rPr>
          <w:rFonts w:ascii="Garamond" w:hAnsi="Garamond"/>
        </w:rPr>
        <w:t xml:space="preserve"> </w:t>
      </w:r>
      <w:r w:rsidR="00FE5189">
        <w:rPr>
          <w:rFonts w:ascii="Garamond" w:hAnsi="Garamond"/>
        </w:rPr>
        <w:t>their</w:t>
      </w:r>
      <w:r w:rsidR="007F5CDB">
        <w:rPr>
          <w:rFonts w:ascii="Garamond" w:hAnsi="Garamond"/>
        </w:rPr>
        <w:t xml:space="preserve"> industry.</w:t>
      </w:r>
    </w:p>
    <w:p w14:paraId="403F3495" w14:textId="79121501" w:rsidR="007F5CDB" w:rsidRDefault="00B12B68" w:rsidP="007F5CDB">
      <w:pPr>
        <w:rPr>
          <w:rFonts w:ascii="Garamond" w:hAnsi="Garamond"/>
          <w:color w:val="E57337"/>
          <w:sz w:val="28"/>
          <w:szCs w:val="28"/>
        </w:rPr>
      </w:pPr>
      <w:r>
        <w:rPr>
          <w:rFonts w:ascii="Garamond" w:hAnsi="Garamond"/>
          <w:b/>
          <w:bCs/>
        </w:rPr>
        <w:t>Significant Cash Flows</w:t>
      </w:r>
    </w:p>
    <w:p w14:paraId="1093920F" w14:textId="171BD165" w:rsidR="001B5229" w:rsidRPr="00D14C31" w:rsidRDefault="007F5CDB" w:rsidP="004964E5">
      <w:pPr>
        <w:rPr>
          <w:rFonts w:ascii="Garamond" w:hAnsi="Garamond"/>
        </w:rPr>
      </w:pPr>
      <w:r>
        <w:rPr>
          <w:rFonts w:ascii="Garamond" w:hAnsi="Garamond"/>
        </w:rPr>
        <w:t>With no interest-bearing liabilities, and the only significant long-term debt on their balance sheet being operating leases,</w:t>
      </w:r>
      <w:r w:rsidR="008D596C">
        <w:rPr>
          <w:rFonts w:ascii="Garamond" w:hAnsi="Garamond"/>
        </w:rPr>
        <w:t xml:space="preserve"> Ulta </w:t>
      </w:r>
      <w:r w:rsidR="001B5229" w:rsidRPr="00D14C31">
        <w:rPr>
          <w:rFonts w:ascii="Garamond" w:hAnsi="Garamond"/>
        </w:rPr>
        <w:t>is</w:t>
      </w:r>
      <w:r>
        <w:rPr>
          <w:rFonts w:ascii="Garamond" w:hAnsi="Garamond"/>
        </w:rPr>
        <w:t xml:space="preserve"> considered a</w:t>
      </w:r>
      <w:r w:rsidR="001B5229" w:rsidRPr="00D14C31">
        <w:rPr>
          <w:rFonts w:ascii="Garamond" w:hAnsi="Garamond"/>
        </w:rPr>
        <w:t xml:space="preserve"> debt</w:t>
      </w:r>
      <w:r>
        <w:rPr>
          <w:rFonts w:ascii="Garamond" w:hAnsi="Garamond"/>
        </w:rPr>
        <w:t>-</w:t>
      </w:r>
      <w:r w:rsidR="001B5229" w:rsidRPr="00D14C31">
        <w:rPr>
          <w:rFonts w:ascii="Garamond" w:hAnsi="Garamond"/>
        </w:rPr>
        <w:t xml:space="preserve">free </w:t>
      </w:r>
      <w:r>
        <w:rPr>
          <w:rFonts w:ascii="Garamond" w:hAnsi="Garamond"/>
        </w:rPr>
        <w:t xml:space="preserve">company. The implications of </w:t>
      </w:r>
      <w:r w:rsidR="00567045">
        <w:rPr>
          <w:rFonts w:ascii="Garamond" w:hAnsi="Garamond"/>
        </w:rPr>
        <w:t xml:space="preserve">such </w:t>
      </w:r>
      <w:r w:rsidR="001B5229" w:rsidRPr="00D14C31">
        <w:rPr>
          <w:rFonts w:ascii="Garamond" w:hAnsi="Garamond"/>
        </w:rPr>
        <w:t>mean</w:t>
      </w:r>
      <w:r w:rsidR="00567045">
        <w:rPr>
          <w:rFonts w:ascii="Garamond" w:hAnsi="Garamond"/>
        </w:rPr>
        <w:t>s</w:t>
      </w:r>
      <w:r w:rsidR="008D596C">
        <w:rPr>
          <w:rFonts w:ascii="Garamond" w:hAnsi="Garamond"/>
        </w:rPr>
        <w:t xml:space="preserve"> Ulta </w:t>
      </w:r>
      <w:r w:rsidR="001B5229" w:rsidRPr="00D14C31">
        <w:rPr>
          <w:rFonts w:ascii="Garamond" w:hAnsi="Garamond"/>
        </w:rPr>
        <w:t>has few</w:t>
      </w:r>
      <w:r w:rsidR="00567045">
        <w:rPr>
          <w:rFonts w:ascii="Garamond" w:hAnsi="Garamond"/>
        </w:rPr>
        <w:t xml:space="preserve"> recuring</w:t>
      </w:r>
      <w:r w:rsidR="001B5229" w:rsidRPr="00D14C31">
        <w:rPr>
          <w:rFonts w:ascii="Garamond" w:hAnsi="Garamond"/>
        </w:rPr>
        <w:t xml:space="preserve"> obligations and can dedicate vast amounts of its cash flows to </w:t>
      </w:r>
      <w:r w:rsidR="00567045">
        <w:rPr>
          <w:rFonts w:ascii="Garamond" w:hAnsi="Garamond"/>
        </w:rPr>
        <w:t>re</w:t>
      </w:r>
      <w:r w:rsidR="001B5229" w:rsidRPr="00D14C31">
        <w:rPr>
          <w:rFonts w:ascii="Garamond" w:hAnsi="Garamond"/>
        </w:rPr>
        <w:t>investment</w:t>
      </w:r>
      <w:r w:rsidR="00567045">
        <w:rPr>
          <w:rFonts w:ascii="Garamond" w:hAnsi="Garamond"/>
        </w:rPr>
        <w:t xml:space="preserve">. </w:t>
      </w:r>
    </w:p>
    <w:p w14:paraId="0856FC67" w14:textId="00CA4825" w:rsidR="001B5229" w:rsidRDefault="001B5229" w:rsidP="007B66F1">
      <w:pPr>
        <w:jc w:val="center"/>
        <w:rPr>
          <w:rFonts w:ascii="Garamond" w:hAnsi="Garamond"/>
        </w:rPr>
      </w:pPr>
      <w:r w:rsidRPr="00D14C31">
        <w:rPr>
          <w:rFonts w:ascii="Garamond" w:hAnsi="Garamond"/>
          <w:noProof/>
        </w:rPr>
        <w:lastRenderedPageBreak/>
        <w:drawing>
          <wp:inline distT="0" distB="0" distL="0" distR="0" wp14:anchorId="00E8253B" wp14:editId="1E141C30">
            <wp:extent cx="5565321" cy="3056255"/>
            <wp:effectExtent l="0" t="0" r="0" b="4445"/>
            <wp:docPr id="1826407641" name="Picture 2" descr="A graph of cash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07641" name="Picture 2" descr="A graph of cash flow&#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8814" cy="3113089"/>
                    </a:xfrm>
                    <a:prstGeom prst="rect">
                      <a:avLst/>
                    </a:prstGeom>
                    <a:noFill/>
                    <a:ln>
                      <a:noFill/>
                    </a:ln>
                  </pic:spPr>
                </pic:pic>
              </a:graphicData>
            </a:graphic>
          </wp:inline>
        </w:drawing>
      </w:r>
    </w:p>
    <w:p w14:paraId="00622554" w14:textId="5949FAA8" w:rsidR="00170114" w:rsidRPr="00170114" w:rsidRDefault="00170114" w:rsidP="00170114">
      <w:pPr>
        <w:jc w:val="center"/>
        <w:rPr>
          <w:rFonts w:ascii="Garamond" w:hAnsi="Garamond"/>
          <w:sz w:val="18"/>
          <w:szCs w:val="18"/>
        </w:rPr>
      </w:pPr>
      <w:r w:rsidRPr="00170114">
        <w:rPr>
          <w:rFonts w:ascii="Garamond" w:hAnsi="Garamond"/>
          <w:sz w:val="18"/>
          <w:szCs w:val="18"/>
        </w:rPr>
        <w:t xml:space="preserve">Figure </w:t>
      </w:r>
      <w:r w:rsidR="00C26783">
        <w:rPr>
          <w:rFonts w:ascii="Garamond" w:hAnsi="Garamond"/>
          <w:sz w:val="18"/>
          <w:szCs w:val="18"/>
        </w:rPr>
        <w:t>3</w:t>
      </w:r>
      <w:r w:rsidR="006C5852">
        <w:rPr>
          <w:rFonts w:ascii="Garamond" w:hAnsi="Garamond"/>
          <w:sz w:val="18"/>
          <w:szCs w:val="18"/>
        </w:rPr>
        <w:t xml:space="preserve"> (numbers in Millions</w:t>
      </w:r>
      <w:r w:rsidR="000851D8">
        <w:rPr>
          <w:rFonts w:ascii="Garamond" w:hAnsi="Garamond"/>
          <w:sz w:val="18"/>
          <w:szCs w:val="18"/>
        </w:rPr>
        <w:t>)</w:t>
      </w:r>
    </w:p>
    <w:p w14:paraId="6AD2339B" w14:textId="77777777" w:rsidR="00354B7A" w:rsidRPr="00354B7A" w:rsidRDefault="00354B7A" w:rsidP="00354B7A">
      <w:pPr>
        <w:rPr>
          <w:rFonts w:ascii="Garamond" w:hAnsi="Garamond"/>
        </w:rPr>
      </w:pPr>
      <w:r w:rsidRPr="00354B7A">
        <w:rPr>
          <w:rFonts w:ascii="Garamond" w:hAnsi="Garamond"/>
        </w:rPr>
        <w:t>In the 2024 Q1 earnings call, David Kimbell outlined all Ulta has accomplished with reinvestment.</w:t>
      </w:r>
    </w:p>
    <w:p w14:paraId="1D12BA9F" w14:textId="77777777" w:rsidR="00354B7A" w:rsidRPr="00354B7A" w:rsidRDefault="00354B7A" w:rsidP="00354B7A">
      <w:pPr>
        <w:ind w:left="720"/>
        <w:rPr>
          <w:rFonts w:ascii="Garamond" w:hAnsi="Garamond"/>
        </w:rPr>
      </w:pPr>
      <w:r w:rsidRPr="00354B7A">
        <w:rPr>
          <w:rFonts w:ascii="Garamond" w:hAnsi="Garamond"/>
        </w:rPr>
        <w:t>[Completion of our] retrofit of our Greenwood distribution center, [we] began the retrofit of our Dallas distribution center, opened our Greer market fulfillment center, and began work on our Bolingbrook market fulfillment center. We successfully transitioned our Jacksonville, Greer, and Chambersburg distribution facilities and key merchandising processes to our new enterprise resource planning platform, and we converted key merchandising and commerce elements of our digital store to a new architecture. We built a new enterprise data platform on Google cloud infrastructure, establishing a modern ecosystem for future analytics and data-driven decision-making capabilities, and we completed our rollout of new POS systems, including mobile checkout, in all stores.</w:t>
      </w:r>
    </w:p>
    <w:p w14:paraId="728E1C3B" w14:textId="29DF1BDB" w:rsidR="00354B7A" w:rsidRPr="00354B7A" w:rsidRDefault="00354B7A" w:rsidP="00354B7A">
      <w:pPr>
        <w:rPr>
          <w:rFonts w:ascii="Garamond" w:hAnsi="Garamond"/>
        </w:rPr>
      </w:pPr>
      <w:r w:rsidRPr="00354B7A">
        <w:rPr>
          <w:rFonts w:ascii="Garamond" w:hAnsi="Garamond"/>
        </w:rPr>
        <w:t xml:space="preserve">In an industry that relies heavily on the supply chain to fulfill new beauty trends, Ulta’s capital investments will continue to drive profits well into the future, and with an average of 26.37% return on invested capital from 2012-2024, these investments are clearly effective. The established new enterprise data platform that Kimbell mentioned will also allow Ulta to leverage its industry-leading loyalty program to dive into customer insights, and proactively accommodate inventory needs. </w:t>
      </w:r>
    </w:p>
    <w:p w14:paraId="50DE05A9" w14:textId="50132149" w:rsidR="00354B7A" w:rsidRPr="00354B7A" w:rsidRDefault="00354B7A" w:rsidP="00354B7A">
      <w:pPr>
        <w:rPr>
          <w:rFonts w:ascii="Garamond" w:hAnsi="Garamond"/>
        </w:rPr>
      </w:pPr>
      <w:r w:rsidRPr="00354B7A">
        <w:rPr>
          <w:rFonts w:ascii="Garamond" w:hAnsi="Garamond"/>
        </w:rPr>
        <w:t xml:space="preserve">In March of 2024, Ulta also announced a share repurchase program worth $2.0 billion. As of May 4, 2024, $1.8 billion remained available under this repurchase program as Ulta had successfully repurchased 588,004 shares for $285.1 million. Ulta plans on continuing this progress as the 2024 Fiscal Year is budgeted to contain approximately $1 billion in share repurchases, leaving the remaining $1 billion for future year(s). While share repurchase programs tend to have negligible effects on share prices, the main effect of this repurchase program comes from its compounded signaling. With consistent reinvestment into the supply chain </w:t>
      </w:r>
      <w:r w:rsidR="006B611A">
        <w:rPr>
          <w:rFonts w:ascii="Garamond" w:hAnsi="Garamond"/>
        </w:rPr>
        <w:t>through</w:t>
      </w:r>
      <w:r w:rsidRPr="00354B7A">
        <w:rPr>
          <w:rFonts w:ascii="Garamond" w:hAnsi="Garamond"/>
        </w:rPr>
        <w:t xml:space="preserve"> new fulfillment centers and upgraded ERP systems, commitment to growing store networks, and conversion towards </w:t>
      </w:r>
      <w:r w:rsidR="00300350">
        <w:rPr>
          <w:rFonts w:ascii="Garamond" w:hAnsi="Garamond"/>
        </w:rPr>
        <w:t>E-commerce</w:t>
      </w:r>
      <w:r w:rsidRPr="00354B7A">
        <w:rPr>
          <w:rFonts w:ascii="Garamond" w:hAnsi="Garamond"/>
        </w:rPr>
        <w:t>, Ulta possesses a variety of new opportunities as to which they invest their money. Furthermore, as will be explored later, Ulta's revenues and earnings continue to grow, margins remain consistent, and promotional activities remain prominent. The stockpile of positive signals, tied together with the announcement of this share repurchase program highlights how this move is not meant to be a short-term earnings manipulation, but rather genuine confidence from</w:t>
      </w:r>
      <w:r w:rsidR="00505805">
        <w:rPr>
          <w:rFonts w:ascii="Garamond" w:hAnsi="Garamond"/>
        </w:rPr>
        <w:t xml:space="preserve"> a</w:t>
      </w:r>
      <w:r w:rsidRPr="00354B7A">
        <w:rPr>
          <w:rFonts w:ascii="Garamond" w:hAnsi="Garamond"/>
        </w:rPr>
        <w:t xml:space="preserve"> management </w:t>
      </w:r>
      <w:r w:rsidR="00505805">
        <w:rPr>
          <w:rFonts w:ascii="Garamond" w:hAnsi="Garamond"/>
        </w:rPr>
        <w:t xml:space="preserve">team </w:t>
      </w:r>
      <w:r w:rsidRPr="00354B7A">
        <w:rPr>
          <w:rFonts w:ascii="Garamond" w:hAnsi="Garamond"/>
        </w:rPr>
        <w:t>that believes the best investment they can make is within their own shares.</w:t>
      </w:r>
    </w:p>
    <w:p w14:paraId="708BF28B" w14:textId="77777777" w:rsidR="00354B7A" w:rsidRPr="00354B7A" w:rsidRDefault="00354B7A" w:rsidP="00354B7A">
      <w:pPr>
        <w:rPr>
          <w:rFonts w:ascii="Garamond" w:hAnsi="Garamond"/>
        </w:rPr>
      </w:pPr>
      <w:r w:rsidRPr="00354B7A">
        <w:rPr>
          <w:rFonts w:ascii="Garamond" w:hAnsi="Garamond"/>
          <w:b/>
          <w:bCs/>
        </w:rPr>
        <w:t>Store Growth</w:t>
      </w:r>
    </w:p>
    <w:p w14:paraId="43E4A9A5" w14:textId="058DD851" w:rsidR="00354B7A" w:rsidRPr="00354B7A" w:rsidRDefault="00354B7A" w:rsidP="00354B7A">
      <w:pPr>
        <w:rPr>
          <w:rFonts w:ascii="Garamond" w:hAnsi="Garamond"/>
        </w:rPr>
      </w:pPr>
      <w:r w:rsidRPr="00354B7A">
        <w:rPr>
          <w:rFonts w:ascii="Garamond" w:hAnsi="Garamond"/>
        </w:rPr>
        <w:t>Within capital expenditures, Ulta has not only focused their excess cash flows on reinvesting in their supply chain, but they have also continued to grow their store network across the United States</w:t>
      </w:r>
      <w:r w:rsidR="009C62AE">
        <w:rPr>
          <w:rFonts w:ascii="Garamond" w:hAnsi="Garamond"/>
        </w:rPr>
        <w:t>,</w:t>
      </w:r>
      <w:r w:rsidRPr="00354B7A">
        <w:rPr>
          <w:rFonts w:ascii="Garamond" w:hAnsi="Garamond"/>
        </w:rPr>
        <w:t xml:space="preserve"> and plan to continue to do so until they reach 1500-1700 standing stores. With that in mind, Ulta has, on average, opened 48 new stores per year based on the previous 5 years</w:t>
      </w:r>
      <w:r w:rsidR="008F21D7">
        <w:rPr>
          <w:rFonts w:ascii="Garamond" w:hAnsi="Garamond"/>
        </w:rPr>
        <w:t>,</w:t>
      </w:r>
      <w:r w:rsidRPr="00354B7A">
        <w:rPr>
          <w:rFonts w:ascii="Garamond" w:hAnsi="Garamond"/>
        </w:rPr>
        <w:t xml:space="preserve"> and plans to open 60-65 during 2024. Calculating the average revenue per store during 2023, each new store generates roughly </w:t>
      </w:r>
      <w:r w:rsidRPr="00354B7A">
        <w:rPr>
          <w:rFonts w:ascii="Garamond" w:hAnsi="Garamond"/>
        </w:rPr>
        <w:lastRenderedPageBreak/>
        <w:t xml:space="preserve">$8.1 million per year. </w:t>
      </w:r>
      <w:r w:rsidR="00E017F3">
        <w:rPr>
          <w:rFonts w:ascii="Garamond" w:hAnsi="Garamond"/>
        </w:rPr>
        <w:t xml:space="preserve">Together, </w:t>
      </w:r>
      <w:r w:rsidR="00F054C6">
        <w:rPr>
          <w:rFonts w:ascii="Garamond" w:hAnsi="Garamond"/>
        </w:rPr>
        <w:t xml:space="preserve">average </w:t>
      </w:r>
      <w:r w:rsidRPr="00354B7A">
        <w:rPr>
          <w:rFonts w:ascii="Garamond" w:hAnsi="Garamond"/>
        </w:rPr>
        <w:t>new store openings</w:t>
      </w:r>
      <w:r w:rsidR="00F054C6">
        <w:rPr>
          <w:rFonts w:ascii="Garamond" w:hAnsi="Garamond"/>
        </w:rPr>
        <w:t xml:space="preserve"> and revenue</w:t>
      </w:r>
      <w:r w:rsidR="001C5544">
        <w:rPr>
          <w:rFonts w:ascii="Garamond" w:hAnsi="Garamond"/>
        </w:rPr>
        <w:t xml:space="preserve"> per store can</w:t>
      </w:r>
      <w:r w:rsidRPr="00354B7A">
        <w:rPr>
          <w:rFonts w:ascii="Garamond" w:hAnsi="Garamond"/>
        </w:rPr>
        <w:t xml:space="preserve"> generate an increase of $388.8 million per year. However, it is important to note how most new stores will not generate an average store</w:t>
      </w:r>
      <w:r w:rsidR="00D3039E">
        <w:rPr>
          <w:rFonts w:ascii="Garamond" w:hAnsi="Garamond"/>
        </w:rPr>
        <w:t>s</w:t>
      </w:r>
      <w:r w:rsidRPr="00354B7A">
        <w:rPr>
          <w:rFonts w:ascii="Garamond" w:hAnsi="Garamond"/>
        </w:rPr>
        <w:t xml:space="preserve"> revenue during the first year. The following figure highlights the average net sales increase from each new store between the 2022 fiscal year and the 2023 fiscal year.</w:t>
      </w:r>
    </w:p>
    <w:tbl>
      <w:tblPr>
        <w:tblStyle w:val="TableGrid"/>
        <w:tblW w:w="10720" w:type="dxa"/>
        <w:tblLook w:val="04A0" w:firstRow="1" w:lastRow="0" w:firstColumn="1" w:lastColumn="0" w:noHBand="0" w:noVBand="1"/>
      </w:tblPr>
      <w:tblGrid>
        <w:gridCol w:w="7657"/>
        <w:gridCol w:w="3063"/>
      </w:tblGrid>
      <w:tr w:rsidR="00815F3B" w14:paraId="6213E1B6" w14:textId="77777777" w:rsidTr="00311D5D">
        <w:trPr>
          <w:trHeight w:val="347"/>
        </w:trPr>
        <w:tc>
          <w:tcPr>
            <w:tcW w:w="7657" w:type="dxa"/>
          </w:tcPr>
          <w:p w14:paraId="1F26FA0D" w14:textId="69D2C231" w:rsidR="00815F3B" w:rsidRDefault="00815F3B" w:rsidP="00815F3B">
            <w:pPr>
              <w:rPr>
                <w:rFonts w:ascii="Garamond" w:hAnsi="Garamond"/>
                <w:sz w:val="18"/>
                <w:szCs w:val="18"/>
              </w:rPr>
            </w:pPr>
            <w:r w:rsidRPr="00162599">
              <w:rPr>
                <w:rFonts w:ascii="Garamond" w:hAnsi="Garamond"/>
                <w:b/>
                <w:bCs/>
              </w:rPr>
              <w:t>New Store Openings</w:t>
            </w:r>
            <w:r>
              <w:rPr>
                <w:rFonts w:ascii="Garamond" w:hAnsi="Garamond"/>
                <w:b/>
                <w:bCs/>
              </w:rPr>
              <w:t>:</w:t>
            </w:r>
          </w:p>
        </w:tc>
        <w:tc>
          <w:tcPr>
            <w:tcW w:w="3063" w:type="dxa"/>
          </w:tcPr>
          <w:p w14:paraId="355391FA" w14:textId="5570CA23" w:rsidR="00815F3B" w:rsidRDefault="00815F3B" w:rsidP="00815F3B">
            <w:pPr>
              <w:rPr>
                <w:rFonts w:ascii="Garamond" w:hAnsi="Garamond"/>
                <w:sz w:val="18"/>
                <w:szCs w:val="18"/>
              </w:rPr>
            </w:pPr>
            <w:r>
              <w:rPr>
                <w:rFonts w:ascii="Garamond" w:hAnsi="Garamond"/>
                <w:b/>
                <w:bCs/>
              </w:rPr>
              <w:t xml:space="preserve"> 30</w:t>
            </w:r>
          </w:p>
        </w:tc>
      </w:tr>
      <w:tr w:rsidR="00815F3B" w14:paraId="0ED75C46" w14:textId="77777777" w:rsidTr="00311D5D">
        <w:trPr>
          <w:trHeight w:val="371"/>
        </w:trPr>
        <w:tc>
          <w:tcPr>
            <w:tcW w:w="7657" w:type="dxa"/>
          </w:tcPr>
          <w:p w14:paraId="2FC6DE4E" w14:textId="6307869E" w:rsidR="00815F3B" w:rsidRDefault="00815F3B" w:rsidP="00815F3B">
            <w:pPr>
              <w:rPr>
                <w:rFonts w:ascii="Garamond" w:hAnsi="Garamond"/>
                <w:sz w:val="18"/>
                <w:szCs w:val="18"/>
              </w:rPr>
            </w:pPr>
            <w:r w:rsidRPr="00162599">
              <w:rPr>
                <w:rFonts w:ascii="Garamond" w:hAnsi="Garamond"/>
                <w:b/>
                <w:bCs/>
              </w:rPr>
              <w:t>Revenue for 202</w:t>
            </w:r>
            <w:r>
              <w:rPr>
                <w:rFonts w:ascii="Garamond" w:hAnsi="Garamond"/>
                <w:b/>
                <w:bCs/>
              </w:rPr>
              <w:t xml:space="preserve">2 </w:t>
            </w:r>
            <w:r w:rsidRPr="00162599">
              <w:rPr>
                <w:rFonts w:ascii="Garamond" w:hAnsi="Garamond"/>
                <w:b/>
                <w:bCs/>
              </w:rPr>
              <w:t>fiscal year</w:t>
            </w:r>
            <w:r>
              <w:rPr>
                <w:rFonts w:ascii="Garamond" w:hAnsi="Garamond"/>
                <w:b/>
                <w:bCs/>
              </w:rPr>
              <w:t>:</w:t>
            </w:r>
          </w:p>
        </w:tc>
        <w:tc>
          <w:tcPr>
            <w:tcW w:w="3063" w:type="dxa"/>
          </w:tcPr>
          <w:p w14:paraId="7B4B3258" w14:textId="32C43670" w:rsidR="00815F3B" w:rsidRDefault="00815F3B" w:rsidP="00815F3B">
            <w:pPr>
              <w:rPr>
                <w:rFonts w:ascii="Garamond" w:hAnsi="Garamond"/>
                <w:sz w:val="18"/>
                <w:szCs w:val="18"/>
              </w:rPr>
            </w:pPr>
            <w:r w:rsidRPr="00162599">
              <w:rPr>
                <w:rFonts w:ascii="Garamond" w:hAnsi="Garamond"/>
                <w:b/>
                <w:bCs/>
              </w:rPr>
              <w:t> $</w:t>
            </w:r>
            <w:r>
              <w:rPr>
                <w:rFonts w:ascii="Garamond" w:hAnsi="Garamond"/>
                <w:b/>
                <w:bCs/>
              </w:rPr>
              <w:t>10,209</w:t>
            </w:r>
          </w:p>
        </w:tc>
      </w:tr>
      <w:tr w:rsidR="00815F3B" w14:paraId="0BB78E2E" w14:textId="77777777" w:rsidTr="00311D5D">
        <w:trPr>
          <w:trHeight w:val="347"/>
        </w:trPr>
        <w:tc>
          <w:tcPr>
            <w:tcW w:w="7657" w:type="dxa"/>
          </w:tcPr>
          <w:p w14:paraId="76FB981B" w14:textId="2C6934C4" w:rsidR="00815F3B" w:rsidRDefault="00815F3B" w:rsidP="00815F3B">
            <w:pPr>
              <w:rPr>
                <w:rFonts w:ascii="Garamond" w:hAnsi="Garamond"/>
                <w:sz w:val="18"/>
                <w:szCs w:val="18"/>
              </w:rPr>
            </w:pPr>
            <w:r w:rsidRPr="00162599">
              <w:rPr>
                <w:rFonts w:ascii="Garamond" w:hAnsi="Garamond"/>
                <w:b/>
                <w:bCs/>
              </w:rPr>
              <w:t>Revenue for 202</w:t>
            </w:r>
            <w:r>
              <w:rPr>
                <w:rFonts w:ascii="Garamond" w:hAnsi="Garamond"/>
                <w:b/>
                <w:bCs/>
              </w:rPr>
              <w:t xml:space="preserve">3 </w:t>
            </w:r>
            <w:r w:rsidRPr="00162599">
              <w:rPr>
                <w:rFonts w:ascii="Garamond" w:hAnsi="Garamond"/>
                <w:b/>
                <w:bCs/>
              </w:rPr>
              <w:t>fiscal year</w:t>
            </w:r>
            <w:r>
              <w:rPr>
                <w:rFonts w:ascii="Garamond" w:hAnsi="Garamond"/>
                <w:b/>
                <w:bCs/>
              </w:rPr>
              <w:t>:</w:t>
            </w:r>
          </w:p>
        </w:tc>
        <w:tc>
          <w:tcPr>
            <w:tcW w:w="3063" w:type="dxa"/>
          </w:tcPr>
          <w:p w14:paraId="2D074A3B" w14:textId="5B1A0105" w:rsidR="00815F3B" w:rsidRDefault="00815F3B" w:rsidP="00815F3B">
            <w:pPr>
              <w:rPr>
                <w:rFonts w:ascii="Garamond" w:hAnsi="Garamond"/>
                <w:sz w:val="18"/>
                <w:szCs w:val="18"/>
              </w:rPr>
            </w:pPr>
            <w:r w:rsidRPr="00162599">
              <w:rPr>
                <w:rFonts w:ascii="Garamond" w:hAnsi="Garamond"/>
                <w:b/>
                <w:bCs/>
              </w:rPr>
              <w:t> $</w:t>
            </w:r>
            <w:r>
              <w:rPr>
                <w:rFonts w:ascii="Garamond" w:hAnsi="Garamond"/>
                <w:b/>
                <w:bCs/>
              </w:rPr>
              <w:t>11,207</w:t>
            </w:r>
          </w:p>
        </w:tc>
      </w:tr>
      <w:tr w:rsidR="00815F3B" w14:paraId="463E7E2E" w14:textId="77777777" w:rsidTr="00311D5D">
        <w:trPr>
          <w:trHeight w:val="371"/>
        </w:trPr>
        <w:tc>
          <w:tcPr>
            <w:tcW w:w="7657" w:type="dxa"/>
          </w:tcPr>
          <w:p w14:paraId="1BD63EE6" w14:textId="0FA5F10A" w:rsidR="00815F3B" w:rsidRDefault="00815F3B" w:rsidP="00815F3B">
            <w:pPr>
              <w:rPr>
                <w:rFonts w:ascii="Garamond" w:hAnsi="Garamond"/>
                <w:sz w:val="18"/>
                <w:szCs w:val="18"/>
              </w:rPr>
            </w:pPr>
            <w:r>
              <w:rPr>
                <w:rFonts w:ascii="Garamond" w:hAnsi="Garamond"/>
                <w:b/>
                <w:bCs/>
              </w:rPr>
              <w:t xml:space="preserve">Total </w:t>
            </w:r>
            <w:r w:rsidRPr="00162599">
              <w:rPr>
                <w:rFonts w:ascii="Garamond" w:hAnsi="Garamond"/>
                <w:b/>
                <w:bCs/>
              </w:rPr>
              <w:t>Revenue increase</w:t>
            </w:r>
            <w:r>
              <w:rPr>
                <w:rFonts w:ascii="Garamond" w:hAnsi="Garamond"/>
                <w:b/>
                <w:bCs/>
              </w:rPr>
              <w:t>:</w:t>
            </w:r>
          </w:p>
        </w:tc>
        <w:tc>
          <w:tcPr>
            <w:tcW w:w="3063" w:type="dxa"/>
          </w:tcPr>
          <w:p w14:paraId="0537BC46" w14:textId="6C1CC666" w:rsidR="00815F3B" w:rsidRDefault="00815F3B" w:rsidP="00815F3B">
            <w:pPr>
              <w:rPr>
                <w:rFonts w:ascii="Garamond" w:hAnsi="Garamond"/>
                <w:sz w:val="18"/>
                <w:szCs w:val="18"/>
              </w:rPr>
            </w:pPr>
            <w:r>
              <w:rPr>
                <w:rFonts w:ascii="Garamond" w:hAnsi="Garamond"/>
                <w:b/>
                <w:bCs/>
              </w:rPr>
              <w:t xml:space="preserve"> $998</w:t>
            </w:r>
          </w:p>
        </w:tc>
      </w:tr>
      <w:tr w:rsidR="00815F3B" w14:paraId="12443F95" w14:textId="77777777" w:rsidTr="00311D5D">
        <w:trPr>
          <w:trHeight w:val="347"/>
        </w:trPr>
        <w:tc>
          <w:tcPr>
            <w:tcW w:w="7657" w:type="dxa"/>
          </w:tcPr>
          <w:p w14:paraId="667B7FC1" w14:textId="26F438FB" w:rsidR="00815F3B" w:rsidRDefault="00815F3B" w:rsidP="00815F3B">
            <w:pPr>
              <w:rPr>
                <w:rFonts w:ascii="Garamond" w:hAnsi="Garamond"/>
                <w:sz w:val="18"/>
                <w:szCs w:val="18"/>
              </w:rPr>
            </w:pPr>
            <w:r>
              <w:rPr>
                <w:rFonts w:ascii="Garamond" w:hAnsi="Garamond"/>
                <w:b/>
                <w:bCs/>
              </w:rPr>
              <w:t>Comp Growth was 5.7%</w:t>
            </w:r>
          </w:p>
        </w:tc>
        <w:tc>
          <w:tcPr>
            <w:tcW w:w="3063" w:type="dxa"/>
          </w:tcPr>
          <w:p w14:paraId="2AE0EF2C" w14:textId="023ACDD4" w:rsidR="00815F3B" w:rsidRDefault="00815F3B" w:rsidP="00815F3B">
            <w:pPr>
              <w:rPr>
                <w:rFonts w:ascii="Garamond" w:hAnsi="Garamond"/>
                <w:sz w:val="18"/>
                <w:szCs w:val="18"/>
              </w:rPr>
            </w:pPr>
            <w:r w:rsidRPr="00162599">
              <w:rPr>
                <w:rFonts w:ascii="Garamond" w:hAnsi="Garamond"/>
                <w:b/>
                <w:bCs/>
              </w:rPr>
              <w:t> </w:t>
            </w:r>
            <w:r>
              <w:rPr>
                <w:rFonts w:ascii="Garamond" w:hAnsi="Garamond"/>
                <w:b/>
                <w:bCs/>
              </w:rPr>
              <w:t>5.7</w:t>
            </w:r>
            <w:r w:rsidRPr="00162599">
              <w:rPr>
                <w:rFonts w:ascii="Garamond" w:hAnsi="Garamond"/>
                <w:b/>
                <w:bCs/>
              </w:rPr>
              <w:t>%</w:t>
            </w:r>
          </w:p>
        </w:tc>
      </w:tr>
      <w:tr w:rsidR="00815F3B" w14:paraId="3E527D87" w14:textId="77777777" w:rsidTr="00311D5D">
        <w:trPr>
          <w:trHeight w:val="347"/>
        </w:trPr>
        <w:tc>
          <w:tcPr>
            <w:tcW w:w="7657" w:type="dxa"/>
          </w:tcPr>
          <w:p w14:paraId="5F47ED60" w14:textId="24F6ECEC" w:rsidR="00815F3B" w:rsidRDefault="00815F3B" w:rsidP="00815F3B">
            <w:pPr>
              <w:rPr>
                <w:rFonts w:ascii="Garamond" w:hAnsi="Garamond"/>
                <w:sz w:val="18"/>
                <w:szCs w:val="18"/>
              </w:rPr>
            </w:pPr>
            <w:r>
              <w:rPr>
                <w:rFonts w:ascii="Garamond" w:hAnsi="Garamond"/>
                <w:b/>
                <w:bCs/>
              </w:rPr>
              <w:t>Revenue Increase from Comp Growth</w:t>
            </w:r>
          </w:p>
        </w:tc>
        <w:tc>
          <w:tcPr>
            <w:tcW w:w="3063" w:type="dxa"/>
          </w:tcPr>
          <w:p w14:paraId="656A6932" w14:textId="2FEBE856" w:rsidR="00815F3B" w:rsidRDefault="00815F3B" w:rsidP="00815F3B">
            <w:pPr>
              <w:rPr>
                <w:rFonts w:ascii="Garamond" w:hAnsi="Garamond"/>
                <w:sz w:val="18"/>
                <w:szCs w:val="18"/>
              </w:rPr>
            </w:pPr>
            <w:r w:rsidRPr="00162599">
              <w:rPr>
                <w:rFonts w:ascii="Garamond" w:hAnsi="Garamond"/>
                <w:b/>
                <w:bCs/>
              </w:rPr>
              <w:t> $</w:t>
            </w:r>
            <w:r>
              <w:rPr>
                <w:rFonts w:ascii="Garamond" w:hAnsi="Garamond"/>
                <w:b/>
                <w:bCs/>
              </w:rPr>
              <w:t>582</w:t>
            </w:r>
          </w:p>
        </w:tc>
      </w:tr>
      <w:tr w:rsidR="00815F3B" w14:paraId="2A5BA60A" w14:textId="77777777" w:rsidTr="00311D5D">
        <w:trPr>
          <w:trHeight w:val="345"/>
        </w:trPr>
        <w:tc>
          <w:tcPr>
            <w:tcW w:w="7657" w:type="dxa"/>
          </w:tcPr>
          <w:p w14:paraId="7DA68020" w14:textId="083D0A7B" w:rsidR="00815F3B" w:rsidRDefault="00815F3B" w:rsidP="00815F3B">
            <w:pPr>
              <w:rPr>
                <w:rFonts w:ascii="Garamond" w:hAnsi="Garamond"/>
                <w:sz w:val="18"/>
                <w:szCs w:val="18"/>
              </w:rPr>
            </w:pPr>
            <w:r w:rsidRPr="00162599">
              <w:rPr>
                <w:rFonts w:ascii="Garamond" w:hAnsi="Garamond"/>
                <w:b/>
                <w:bCs/>
              </w:rPr>
              <w:t>Increase in other revenue</w:t>
            </w:r>
            <w:r>
              <w:rPr>
                <w:rFonts w:ascii="Garamond" w:hAnsi="Garamond"/>
                <w:b/>
                <w:bCs/>
              </w:rPr>
              <w:t xml:space="preserve"> and extra week of sales</w:t>
            </w:r>
            <w:r w:rsidRPr="00162599">
              <w:rPr>
                <w:rFonts w:ascii="Garamond" w:hAnsi="Garamond"/>
                <w:b/>
                <w:bCs/>
              </w:rPr>
              <w:t xml:space="preserve"> is factored out</w:t>
            </w:r>
            <w:r>
              <w:rPr>
                <w:rFonts w:ascii="Garamond" w:hAnsi="Garamond"/>
                <w:b/>
                <w:bCs/>
              </w:rPr>
              <w:t>:</w:t>
            </w:r>
          </w:p>
        </w:tc>
        <w:tc>
          <w:tcPr>
            <w:tcW w:w="3063" w:type="dxa"/>
          </w:tcPr>
          <w:p w14:paraId="778E54E4" w14:textId="28C7BEFE" w:rsidR="00815F3B" w:rsidRDefault="00815F3B" w:rsidP="00815F3B">
            <w:pPr>
              <w:rPr>
                <w:rFonts w:ascii="Garamond" w:hAnsi="Garamond"/>
                <w:sz w:val="18"/>
                <w:szCs w:val="18"/>
              </w:rPr>
            </w:pPr>
            <w:r w:rsidRPr="00162599">
              <w:rPr>
                <w:rFonts w:ascii="Garamond" w:hAnsi="Garamond"/>
                <w:b/>
                <w:bCs/>
              </w:rPr>
              <w:t> $</w:t>
            </w:r>
            <w:r>
              <w:rPr>
                <w:rFonts w:ascii="Garamond" w:hAnsi="Garamond"/>
                <w:b/>
                <w:bCs/>
              </w:rPr>
              <w:t>250</w:t>
            </w:r>
          </w:p>
        </w:tc>
      </w:tr>
      <w:tr w:rsidR="00815F3B" w14:paraId="50CEB850" w14:textId="77777777" w:rsidTr="00311D5D">
        <w:trPr>
          <w:trHeight w:val="371"/>
        </w:trPr>
        <w:tc>
          <w:tcPr>
            <w:tcW w:w="7657" w:type="dxa"/>
          </w:tcPr>
          <w:p w14:paraId="18FDA72D" w14:textId="11F6D37E" w:rsidR="00815F3B" w:rsidRDefault="00815F3B" w:rsidP="00815F3B">
            <w:pPr>
              <w:rPr>
                <w:rFonts w:ascii="Garamond" w:hAnsi="Garamond"/>
                <w:sz w:val="18"/>
                <w:szCs w:val="18"/>
              </w:rPr>
            </w:pPr>
            <w:r>
              <w:rPr>
                <w:rFonts w:ascii="Garamond" w:hAnsi="Garamond"/>
                <w:b/>
                <w:bCs/>
              </w:rPr>
              <w:t>Revenue increase from new stores:</w:t>
            </w:r>
          </w:p>
        </w:tc>
        <w:tc>
          <w:tcPr>
            <w:tcW w:w="3063" w:type="dxa"/>
          </w:tcPr>
          <w:p w14:paraId="56031F25" w14:textId="451C4B9C" w:rsidR="00815F3B" w:rsidRDefault="00815F3B" w:rsidP="00815F3B">
            <w:pPr>
              <w:rPr>
                <w:rFonts w:ascii="Garamond" w:hAnsi="Garamond"/>
                <w:sz w:val="18"/>
                <w:szCs w:val="18"/>
              </w:rPr>
            </w:pPr>
            <w:r>
              <w:rPr>
                <w:rFonts w:ascii="Garamond" w:hAnsi="Garamond"/>
                <w:b/>
                <w:bCs/>
              </w:rPr>
              <w:t xml:space="preserve"> $166</w:t>
            </w:r>
          </w:p>
        </w:tc>
      </w:tr>
      <w:tr w:rsidR="00815F3B" w14:paraId="7C57E11B" w14:textId="77777777" w:rsidTr="00311D5D">
        <w:trPr>
          <w:trHeight w:val="347"/>
        </w:trPr>
        <w:tc>
          <w:tcPr>
            <w:tcW w:w="7657" w:type="dxa"/>
          </w:tcPr>
          <w:p w14:paraId="23600417" w14:textId="698D7A68" w:rsidR="00815F3B" w:rsidRDefault="00815F3B" w:rsidP="00815F3B">
            <w:pPr>
              <w:rPr>
                <w:rFonts w:ascii="Garamond" w:hAnsi="Garamond"/>
                <w:sz w:val="18"/>
                <w:szCs w:val="18"/>
              </w:rPr>
            </w:pPr>
            <w:r w:rsidRPr="00162599">
              <w:rPr>
                <w:rFonts w:ascii="Garamond" w:hAnsi="Garamond"/>
                <w:b/>
                <w:bCs/>
              </w:rPr>
              <w:t>Net sales increase from each new store</w:t>
            </w:r>
            <w:r>
              <w:rPr>
                <w:rFonts w:ascii="Garamond" w:hAnsi="Garamond"/>
                <w:b/>
                <w:bCs/>
              </w:rPr>
              <w:t>:</w:t>
            </w:r>
          </w:p>
        </w:tc>
        <w:tc>
          <w:tcPr>
            <w:tcW w:w="3063" w:type="dxa"/>
          </w:tcPr>
          <w:p w14:paraId="3589A3A6" w14:textId="739DE6B5" w:rsidR="00815F3B" w:rsidRDefault="00815F3B" w:rsidP="00815F3B">
            <w:pPr>
              <w:rPr>
                <w:rFonts w:ascii="Garamond" w:hAnsi="Garamond"/>
                <w:sz w:val="18"/>
                <w:szCs w:val="18"/>
              </w:rPr>
            </w:pPr>
            <w:r>
              <w:rPr>
                <w:rFonts w:ascii="Garamond" w:hAnsi="Garamond"/>
                <w:b/>
                <w:bCs/>
                <w:color w:val="F57B38"/>
                <w:u w:val="single"/>
              </w:rPr>
              <w:t xml:space="preserve"> $5.53</w:t>
            </w:r>
          </w:p>
        </w:tc>
      </w:tr>
    </w:tbl>
    <w:p w14:paraId="31B7D629" w14:textId="5F6222A3" w:rsidR="00C86E6A" w:rsidRPr="00C86E6A" w:rsidRDefault="00C86E6A" w:rsidP="00311D5D">
      <w:pPr>
        <w:jc w:val="center"/>
        <w:rPr>
          <w:rFonts w:ascii="Garamond" w:hAnsi="Garamond"/>
          <w:sz w:val="18"/>
          <w:szCs w:val="18"/>
        </w:rPr>
      </w:pPr>
      <w:r w:rsidRPr="00C86E6A">
        <w:rPr>
          <w:rFonts w:ascii="Garamond" w:hAnsi="Garamond"/>
          <w:sz w:val="18"/>
          <w:szCs w:val="18"/>
        </w:rPr>
        <w:t xml:space="preserve">Figure </w:t>
      </w:r>
      <w:r w:rsidR="00C26783">
        <w:rPr>
          <w:rFonts w:ascii="Garamond" w:hAnsi="Garamond"/>
          <w:sz w:val="18"/>
          <w:szCs w:val="18"/>
        </w:rPr>
        <w:t>4</w:t>
      </w:r>
      <w:r w:rsidR="00063A88">
        <w:rPr>
          <w:rFonts w:ascii="Garamond" w:hAnsi="Garamond"/>
          <w:sz w:val="18"/>
          <w:szCs w:val="18"/>
        </w:rPr>
        <w:t xml:space="preserve"> (</w:t>
      </w:r>
      <w:r w:rsidR="00063A88" w:rsidRPr="00DB1164">
        <w:rPr>
          <w:rFonts w:ascii="Garamond" w:hAnsi="Garamond"/>
          <w:b/>
          <w:bCs/>
          <w:sz w:val="18"/>
          <w:szCs w:val="18"/>
        </w:rPr>
        <w:t>all $ in millions</w:t>
      </w:r>
      <w:r w:rsidR="00063A88">
        <w:rPr>
          <w:rFonts w:ascii="Garamond" w:hAnsi="Garamond"/>
          <w:sz w:val="18"/>
          <w:szCs w:val="18"/>
        </w:rPr>
        <w:t>)</w:t>
      </w:r>
    </w:p>
    <w:p w14:paraId="6777E0C3" w14:textId="3B53A108" w:rsidR="003E2CEA" w:rsidRDefault="00682C65" w:rsidP="00162599">
      <w:pPr>
        <w:rPr>
          <w:rFonts w:ascii="Garamond" w:hAnsi="Garamond"/>
        </w:rPr>
      </w:pPr>
      <w:r>
        <w:rPr>
          <w:rFonts w:ascii="Garamond" w:hAnsi="Garamond"/>
        </w:rPr>
        <w:t xml:space="preserve">With each new store </w:t>
      </w:r>
      <w:r w:rsidR="003D0C7C">
        <w:rPr>
          <w:rFonts w:ascii="Garamond" w:hAnsi="Garamond"/>
        </w:rPr>
        <w:t>generating roughly $</w:t>
      </w:r>
      <w:r w:rsidR="00872BCD">
        <w:rPr>
          <w:rFonts w:ascii="Garamond" w:hAnsi="Garamond"/>
        </w:rPr>
        <w:t>5.53</w:t>
      </w:r>
      <w:r w:rsidR="003D0C7C">
        <w:rPr>
          <w:rFonts w:ascii="Garamond" w:hAnsi="Garamond"/>
        </w:rPr>
        <w:t xml:space="preserve"> million </w:t>
      </w:r>
      <w:r w:rsidR="00DD1622">
        <w:rPr>
          <w:rFonts w:ascii="Garamond" w:hAnsi="Garamond"/>
        </w:rPr>
        <w:t>during the 202</w:t>
      </w:r>
      <w:r w:rsidR="0049196A">
        <w:rPr>
          <w:rFonts w:ascii="Garamond" w:hAnsi="Garamond"/>
        </w:rPr>
        <w:t>3</w:t>
      </w:r>
      <w:r w:rsidR="00DD1622">
        <w:rPr>
          <w:rFonts w:ascii="Garamond" w:hAnsi="Garamond"/>
        </w:rPr>
        <w:t xml:space="preserve"> fiscal period</w:t>
      </w:r>
      <w:r w:rsidR="00D905DE">
        <w:rPr>
          <w:rFonts w:ascii="Garamond" w:hAnsi="Garamond"/>
        </w:rPr>
        <w:t>, followed by the assumption that</w:t>
      </w:r>
      <w:r w:rsidR="007E3A10">
        <w:rPr>
          <w:rFonts w:ascii="Garamond" w:hAnsi="Garamond"/>
        </w:rPr>
        <w:t xml:space="preserve"> a</w:t>
      </w:r>
      <w:r w:rsidR="00D905DE">
        <w:rPr>
          <w:rFonts w:ascii="Garamond" w:hAnsi="Garamond"/>
        </w:rPr>
        <w:t xml:space="preserve"> </w:t>
      </w:r>
      <w:proofErr w:type="gramStart"/>
      <w:r w:rsidR="00D905DE">
        <w:rPr>
          <w:rFonts w:ascii="Garamond" w:hAnsi="Garamond"/>
        </w:rPr>
        <w:t>new store sales</w:t>
      </w:r>
      <w:proofErr w:type="gramEnd"/>
      <w:r w:rsidR="00D905DE">
        <w:rPr>
          <w:rFonts w:ascii="Garamond" w:hAnsi="Garamond"/>
        </w:rPr>
        <w:t xml:space="preserve"> will grow 50% year over year until it reaches the average store revenue, it will</w:t>
      </w:r>
      <w:r w:rsidR="00D32856">
        <w:rPr>
          <w:rFonts w:ascii="Garamond" w:hAnsi="Garamond"/>
        </w:rPr>
        <w:t xml:space="preserve"> only</w:t>
      </w:r>
      <w:r w:rsidR="00D905DE">
        <w:rPr>
          <w:rFonts w:ascii="Garamond" w:hAnsi="Garamond"/>
        </w:rPr>
        <w:t xml:space="preserve"> take </w:t>
      </w:r>
      <w:r w:rsidR="00872BCD">
        <w:rPr>
          <w:rFonts w:ascii="Garamond" w:hAnsi="Garamond"/>
        </w:rPr>
        <w:t>a</w:t>
      </w:r>
      <w:r w:rsidR="00A83789">
        <w:rPr>
          <w:rFonts w:ascii="Garamond" w:hAnsi="Garamond"/>
        </w:rPr>
        <w:t xml:space="preserve"> </w:t>
      </w:r>
      <w:r w:rsidR="00160EBF">
        <w:rPr>
          <w:rFonts w:ascii="Garamond" w:hAnsi="Garamond"/>
        </w:rPr>
        <w:t xml:space="preserve">year for each new store to generate </w:t>
      </w:r>
      <w:r w:rsidR="00F447B9">
        <w:rPr>
          <w:rFonts w:ascii="Garamond" w:hAnsi="Garamond"/>
        </w:rPr>
        <w:t>the average net sales.</w:t>
      </w:r>
      <w:r w:rsidR="00CA404E">
        <w:rPr>
          <w:rFonts w:ascii="Garamond" w:hAnsi="Garamond"/>
        </w:rPr>
        <w:t xml:space="preserve"> </w:t>
      </w:r>
      <w:r w:rsidR="009D5B88">
        <w:rPr>
          <w:rFonts w:ascii="Garamond" w:hAnsi="Garamond"/>
        </w:rPr>
        <w:t>With new stores</w:t>
      </w:r>
      <w:r w:rsidR="007E3A10">
        <w:rPr>
          <w:rFonts w:ascii="Garamond" w:hAnsi="Garamond"/>
        </w:rPr>
        <w:t>’</w:t>
      </w:r>
      <w:r w:rsidR="009D5B88">
        <w:rPr>
          <w:rFonts w:ascii="Garamond" w:hAnsi="Garamond"/>
        </w:rPr>
        <w:t xml:space="preserve"> ability to generate </w:t>
      </w:r>
      <w:r w:rsidR="00846A87">
        <w:rPr>
          <w:rFonts w:ascii="Garamond" w:hAnsi="Garamond"/>
        </w:rPr>
        <w:t xml:space="preserve">strong </w:t>
      </w:r>
      <w:r w:rsidR="009D5B88">
        <w:rPr>
          <w:rFonts w:ascii="Garamond" w:hAnsi="Garamond"/>
        </w:rPr>
        <w:t xml:space="preserve">revenue during their first year, along with the </w:t>
      </w:r>
      <w:proofErr w:type="gramStart"/>
      <w:r w:rsidR="009D5B88">
        <w:rPr>
          <w:rFonts w:ascii="Garamond" w:hAnsi="Garamond"/>
        </w:rPr>
        <w:t>short expected</w:t>
      </w:r>
      <w:proofErr w:type="gramEnd"/>
      <w:r w:rsidR="009D5B88">
        <w:rPr>
          <w:rFonts w:ascii="Garamond" w:hAnsi="Garamond"/>
        </w:rPr>
        <w:t xml:space="preserve"> time horizon </w:t>
      </w:r>
      <w:r w:rsidR="00143546">
        <w:rPr>
          <w:rFonts w:ascii="Garamond" w:hAnsi="Garamond"/>
        </w:rPr>
        <w:t>until they generate at the company average</w:t>
      </w:r>
      <w:r w:rsidR="002233FB">
        <w:rPr>
          <w:rFonts w:ascii="Garamond" w:hAnsi="Garamond"/>
        </w:rPr>
        <w:t>, new stores serve as a</w:t>
      </w:r>
      <w:r w:rsidR="00846A87">
        <w:rPr>
          <w:rFonts w:ascii="Garamond" w:hAnsi="Garamond"/>
        </w:rPr>
        <w:t xml:space="preserve">n important </w:t>
      </w:r>
      <w:r w:rsidR="002233FB">
        <w:rPr>
          <w:rFonts w:ascii="Garamond" w:hAnsi="Garamond"/>
        </w:rPr>
        <w:t>driver behind consistent revenue growth</w:t>
      </w:r>
      <w:r w:rsidR="0038215F">
        <w:rPr>
          <w:rFonts w:ascii="Garamond" w:hAnsi="Garamond"/>
        </w:rPr>
        <w:t xml:space="preserve">. </w:t>
      </w:r>
      <w:r w:rsidR="006004CC">
        <w:rPr>
          <w:rFonts w:ascii="Garamond" w:hAnsi="Garamond"/>
        </w:rPr>
        <w:t xml:space="preserve">Moreover, Ulta’s </w:t>
      </w:r>
      <w:r w:rsidR="00A35D12">
        <w:rPr>
          <w:rFonts w:ascii="Garamond" w:hAnsi="Garamond"/>
        </w:rPr>
        <w:t xml:space="preserve">budgeted </w:t>
      </w:r>
      <w:r w:rsidR="006004CC">
        <w:rPr>
          <w:rFonts w:ascii="Garamond" w:hAnsi="Garamond"/>
        </w:rPr>
        <w:t>new store opening</w:t>
      </w:r>
      <w:r w:rsidR="00A35D12">
        <w:rPr>
          <w:rFonts w:ascii="Garamond" w:hAnsi="Garamond"/>
        </w:rPr>
        <w:t xml:space="preserve">s for fiscal 2024 </w:t>
      </w:r>
      <w:r w:rsidR="006F52F1">
        <w:rPr>
          <w:rFonts w:ascii="Garamond" w:hAnsi="Garamond"/>
        </w:rPr>
        <w:t>remained unchanged after the decreased forward guidance</w:t>
      </w:r>
      <w:r w:rsidR="00D63D9A">
        <w:rPr>
          <w:rFonts w:ascii="Garamond" w:hAnsi="Garamond"/>
        </w:rPr>
        <w:t xml:space="preserve">, </w:t>
      </w:r>
      <w:r w:rsidR="00F126A8">
        <w:rPr>
          <w:rFonts w:ascii="Garamond" w:hAnsi="Garamond"/>
        </w:rPr>
        <w:t xml:space="preserve">indicating a </w:t>
      </w:r>
      <w:r w:rsidR="004C5BA1">
        <w:rPr>
          <w:rFonts w:ascii="Garamond" w:hAnsi="Garamond"/>
        </w:rPr>
        <w:t>revenue increase of $331.8 million</w:t>
      </w:r>
      <w:r w:rsidR="00104B08">
        <w:rPr>
          <w:rFonts w:ascii="Garamond" w:hAnsi="Garamond"/>
        </w:rPr>
        <w:t xml:space="preserve"> at the end of fiscal 2024 (</w:t>
      </w:r>
      <w:r w:rsidR="00255CCE">
        <w:rPr>
          <w:rFonts w:ascii="Garamond" w:hAnsi="Garamond"/>
        </w:rPr>
        <w:t xml:space="preserve">a </w:t>
      </w:r>
      <w:r w:rsidR="00DE619B">
        <w:rPr>
          <w:rFonts w:ascii="Garamond" w:hAnsi="Garamond"/>
        </w:rPr>
        <w:t>3%</w:t>
      </w:r>
      <w:r w:rsidR="00747ED0">
        <w:rPr>
          <w:rFonts w:ascii="Garamond" w:hAnsi="Garamond"/>
        </w:rPr>
        <w:t xml:space="preserve"> increase from fiscal 2023)</w:t>
      </w:r>
      <w:r w:rsidR="00CC4938">
        <w:rPr>
          <w:rFonts w:ascii="Garamond" w:hAnsi="Garamond"/>
        </w:rPr>
        <w:t xml:space="preserve">. </w:t>
      </w:r>
    </w:p>
    <w:p w14:paraId="2FEB8BDD" w14:textId="5B16E419" w:rsidR="00F63BD1" w:rsidRDefault="00800198" w:rsidP="000A5B18">
      <w:pPr>
        <w:rPr>
          <w:rFonts w:ascii="Garamond" w:hAnsi="Garamond"/>
        </w:rPr>
      </w:pPr>
      <w:r>
        <w:rPr>
          <w:rFonts w:ascii="Garamond" w:hAnsi="Garamond"/>
        </w:rPr>
        <w:t>Although n</w:t>
      </w:r>
      <w:r w:rsidR="00B92A71">
        <w:rPr>
          <w:rFonts w:ascii="Garamond" w:hAnsi="Garamond"/>
        </w:rPr>
        <w:t>ew store growth</w:t>
      </w:r>
      <w:r w:rsidR="0084215D">
        <w:rPr>
          <w:rFonts w:ascii="Garamond" w:hAnsi="Garamond"/>
        </w:rPr>
        <w:t xml:space="preserve"> </w:t>
      </w:r>
      <w:r w:rsidR="00394DFA">
        <w:rPr>
          <w:rFonts w:ascii="Garamond" w:hAnsi="Garamond"/>
        </w:rPr>
        <w:t>is a strong driver of revenue increases, it</w:t>
      </w:r>
      <w:r w:rsidR="00B92A71">
        <w:rPr>
          <w:rFonts w:ascii="Garamond" w:hAnsi="Garamond"/>
        </w:rPr>
        <w:t xml:space="preserve"> alone does not </w:t>
      </w:r>
      <w:r w:rsidR="00A30559">
        <w:rPr>
          <w:rFonts w:ascii="Garamond" w:hAnsi="Garamond"/>
        </w:rPr>
        <w:t>constitute</w:t>
      </w:r>
      <w:r w:rsidR="00B92A71">
        <w:rPr>
          <w:rFonts w:ascii="Garamond" w:hAnsi="Garamond"/>
        </w:rPr>
        <w:t xml:space="preserve"> the entirety of Ulta</w:t>
      </w:r>
      <w:r w:rsidR="00A30559">
        <w:rPr>
          <w:rFonts w:ascii="Garamond" w:hAnsi="Garamond"/>
        </w:rPr>
        <w:t>’s revenue growth. In fact</w:t>
      </w:r>
      <w:r w:rsidR="001B5229" w:rsidRPr="00D14C31">
        <w:rPr>
          <w:rFonts w:ascii="Garamond" w:hAnsi="Garamond"/>
        </w:rPr>
        <w:t>, old store</w:t>
      </w:r>
      <w:r w:rsidR="007C0D01">
        <w:rPr>
          <w:rFonts w:ascii="Garamond" w:hAnsi="Garamond"/>
        </w:rPr>
        <w:t xml:space="preserve"> growth</w:t>
      </w:r>
      <w:r w:rsidR="00092920">
        <w:rPr>
          <w:rFonts w:ascii="Garamond" w:hAnsi="Garamond"/>
        </w:rPr>
        <w:t xml:space="preserve"> continues to perform</w:t>
      </w:r>
      <w:r w:rsidR="00162599">
        <w:rPr>
          <w:rFonts w:ascii="Garamond" w:hAnsi="Garamond"/>
        </w:rPr>
        <w:t xml:space="preserve">. </w:t>
      </w:r>
      <w:r w:rsidR="004134D1">
        <w:rPr>
          <w:rFonts w:ascii="Garamond" w:hAnsi="Garamond"/>
        </w:rPr>
        <w:t>During the 2023 fiscal year</w:t>
      </w:r>
      <w:r w:rsidR="00C049E1">
        <w:rPr>
          <w:rFonts w:ascii="Garamond" w:hAnsi="Garamond"/>
        </w:rPr>
        <w:t xml:space="preserve">, comp growth, which measures the percent change of comparable same-store sales, </w:t>
      </w:r>
      <w:r w:rsidR="00BC57E8">
        <w:rPr>
          <w:rFonts w:ascii="Garamond" w:hAnsi="Garamond"/>
        </w:rPr>
        <w:t xml:space="preserve">was reported at 5.7%. </w:t>
      </w:r>
      <w:r w:rsidR="00162599">
        <w:rPr>
          <w:rFonts w:ascii="Garamond" w:hAnsi="Garamond"/>
        </w:rPr>
        <w:t xml:space="preserve">As of the </w:t>
      </w:r>
      <w:r w:rsidR="00BC57E8">
        <w:rPr>
          <w:rFonts w:ascii="Garamond" w:hAnsi="Garamond"/>
        </w:rPr>
        <w:t>most recent quarter</w:t>
      </w:r>
      <w:r w:rsidR="006C4B17">
        <w:rPr>
          <w:rFonts w:ascii="Garamond" w:hAnsi="Garamond"/>
        </w:rPr>
        <w:t>,</w:t>
      </w:r>
      <w:r w:rsidR="00162599">
        <w:rPr>
          <w:rFonts w:ascii="Garamond" w:hAnsi="Garamond"/>
        </w:rPr>
        <w:t xml:space="preserve"> Q1 of 2024, old</w:t>
      </w:r>
      <w:r w:rsidR="001B5229" w:rsidRPr="00D14C31">
        <w:rPr>
          <w:rFonts w:ascii="Garamond" w:hAnsi="Garamond"/>
        </w:rPr>
        <w:t xml:space="preserve"> stores gr</w:t>
      </w:r>
      <w:r w:rsidR="004D0C30">
        <w:rPr>
          <w:rFonts w:ascii="Garamond" w:hAnsi="Garamond"/>
        </w:rPr>
        <w:t>e</w:t>
      </w:r>
      <w:r w:rsidR="001B5229" w:rsidRPr="00D14C31">
        <w:rPr>
          <w:rFonts w:ascii="Garamond" w:hAnsi="Garamond"/>
        </w:rPr>
        <w:t>w with comp growth of 1.6%</w:t>
      </w:r>
      <w:r w:rsidR="007C0D01">
        <w:rPr>
          <w:rFonts w:ascii="Garamond" w:hAnsi="Garamond"/>
        </w:rPr>
        <w:t xml:space="preserve">, with </w:t>
      </w:r>
      <w:r w:rsidR="001B5229" w:rsidRPr="00D14C31">
        <w:rPr>
          <w:rFonts w:ascii="Garamond" w:hAnsi="Garamond"/>
        </w:rPr>
        <w:t xml:space="preserve">1.3% </w:t>
      </w:r>
      <w:r w:rsidR="007C0D01">
        <w:rPr>
          <w:rFonts w:ascii="Garamond" w:hAnsi="Garamond"/>
        </w:rPr>
        <w:t xml:space="preserve">being a result of </w:t>
      </w:r>
      <w:r w:rsidR="001B5229" w:rsidRPr="00D14C31">
        <w:rPr>
          <w:rFonts w:ascii="Garamond" w:hAnsi="Garamond"/>
        </w:rPr>
        <w:t xml:space="preserve">increased traffic and 0.3% </w:t>
      </w:r>
      <w:r w:rsidR="007C0D01">
        <w:rPr>
          <w:rFonts w:ascii="Garamond" w:hAnsi="Garamond"/>
        </w:rPr>
        <w:t xml:space="preserve">coming </w:t>
      </w:r>
      <w:r w:rsidR="001B5229" w:rsidRPr="00D14C31">
        <w:rPr>
          <w:rFonts w:ascii="Garamond" w:hAnsi="Garamond"/>
        </w:rPr>
        <w:t>from increased ticket size</w:t>
      </w:r>
      <w:r w:rsidR="004D0C30">
        <w:rPr>
          <w:rFonts w:ascii="Garamond" w:hAnsi="Garamond"/>
        </w:rPr>
        <w:t>.</w:t>
      </w:r>
      <w:r w:rsidR="006C4B17">
        <w:rPr>
          <w:rFonts w:ascii="Garamond" w:hAnsi="Garamond"/>
        </w:rPr>
        <w:t xml:space="preserve"> </w:t>
      </w:r>
      <w:r w:rsidR="000B631A">
        <w:rPr>
          <w:rFonts w:ascii="Garamond" w:hAnsi="Garamond"/>
        </w:rPr>
        <w:t>Management highlighted how this comp growth was expected to rise in future quarters as the holiday season approaches</w:t>
      </w:r>
      <w:r w:rsidR="00720EC4">
        <w:rPr>
          <w:rFonts w:ascii="Garamond" w:hAnsi="Garamond"/>
        </w:rPr>
        <w:t xml:space="preserve"> and level out between 2-</w:t>
      </w:r>
      <w:r w:rsidR="00FF36F1">
        <w:rPr>
          <w:rFonts w:ascii="Garamond" w:hAnsi="Garamond"/>
        </w:rPr>
        <w:t>4</w:t>
      </w:r>
      <w:r w:rsidR="00720EC4">
        <w:rPr>
          <w:rFonts w:ascii="Garamond" w:hAnsi="Garamond"/>
        </w:rPr>
        <w:t xml:space="preserve">% for the year. </w:t>
      </w:r>
      <w:r w:rsidR="00AD2167">
        <w:rPr>
          <w:rFonts w:ascii="Garamond" w:hAnsi="Garamond"/>
        </w:rPr>
        <w:t xml:space="preserve">Combined, new store </w:t>
      </w:r>
      <w:r w:rsidR="00073DE1">
        <w:rPr>
          <w:rFonts w:ascii="Garamond" w:hAnsi="Garamond"/>
        </w:rPr>
        <w:t>openings and comp growth can be expected to increase revenues between 5-</w:t>
      </w:r>
      <w:r w:rsidR="00FF36F1">
        <w:rPr>
          <w:rFonts w:ascii="Garamond" w:hAnsi="Garamond"/>
        </w:rPr>
        <w:t>7</w:t>
      </w:r>
      <w:r w:rsidR="00073DE1">
        <w:rPr>
          <w:rFonts w:ascii="Garamond" w:hAnsi="Garamond"/>
        </w:rPr>
        <w:t xml:space="preserve">% </w:t>
      </w:r>
      <w:r w:rsidR="009F1044">
        <w:rPr>
          <w:rFonts w:ascii="Garamond" w:hAnsi="Garamond"/>
        </w:rPr>
        <w:t>annually</w:t>
      </w:r>
      <w:r w:rsidR="00C77CE8">
        <w:rPr>
          <w:rFonts w:ascii="Garamond" w:hAnsi="Garamond"/>
        </w:rPr>
        <w:t>. For perspective, the National Retail Federation</w:t>
      </w:r>
      <w:r w:rsidR="00F8191D">
        <w:rPr>
          <w:rFonts w:ascii="Garamond" w:hAnsi="Garamond"/>
        </w:rPr>
        <w:t xml:space="preserve"> cited </w:t>
      </w:r>
      <w:r w:rsidR="006E4804">
        <w:rPr>
          <w:rFonts w:ascii="Garamond" w:hAnsi="Garamond"/>
        </w:rPr>
        <w:t>an average of 3.6% in retail sales growth from 2010-2019</w:t>
      </w:r>
      <w:r w:rsidR="0063214D">
        <w:rPr>
          <w:rFonts w:ascii="Garamond" w:hAnsi="Garamond"/>
        </w:rPr>
        <w:t>, and</w:t>
      </w:r>
      <w:r w:rsidR="00C77CE8">
        <w:rPr>
          <w:rFonts w:ascii="Garamond" w:hAnsi="Garamond"/>
        </w:rPr>
        <w:t xml:space="preserve"> </w:t>
      </w:r>
      <w:r w:rsidR="00A52921">
        <w:rPr>
          <w:rFonts w:ascii="Garamond" w:hAnsi="Garamond"/>
        </w:rPr>
        <w:t xml:space="preserve">forecasts national retail sales to increase </w:t>
      </w:r>
      <w:r w:rsidR="005E0BFD">
        <w:rPr>
          <w:rFonts w:ascii="Garamond" w:hAnsi="Garamond"/>
        </w:rPr>
        <w:t xml:space="preserve">by </w:t>
      </w:r>
      <w:r w:rsidR="00A52921">
        <w:rPr>
          <w:rFonts w:ascii="Garamond" w:hAnsi="Garamond"/>
        </w:rPr>
        <w:t>2.5-3.5% during 2024</w:t>
      </w:r>
      <w:r w:rsidR="0063214D">
        <w:rPr>
          <w:rFonts w:ascii="Garamond" w:hAnsi="Garamond"/>
        </w:rPr>
        <w:t>.</w:t>
      </w:r>
      <w:r w:rsidR="009F1044">
        <w:rPr>
          <w:rFonts w:ascii="Garamond" w:hAnsi="Garamond"/>
        </w:rPr>
        <w:t xml:space="preserve"> </w:t>
      </w:r>
      <w:r w:rsidR="0063214D">
        <w:rPr>
          <w:rFonts w:ascii="Garamond" w:hAnsi="Garamond"/>
        </w:rPr>
        <w:t>E</w:t>
      </w:r>
      <w:r w:rsidR="00506816">
        <w:rPr>
          <w:rFonts w:ascii="Garamond" w:hAnsi="Garamond"/>
        </w:rPr>
        <w:t>ven during a short-term demand slowdown</w:t>
      </w:r>
      <w:r w:rsidR="009C49AA">
        <w:rPr>
          <w:rFonts w:ascii="Garamond" w:hAnsi="Garamond"/>
        </w:rPr>
        <w:t>,</w:t>
      </w:r>
      <w:r w:rsidR="008D596C">
        <w:rPr>
          <w:rFonts w:ascii="Garamond" w:hAnsi="Garamond"/>
        </w:rPr>
        <w:t xml:space="preserve"> Ulta </w:t>
      </w:r>
      <w:r w:rsidR="009C49AA">
        <w:rPr>
          <w:rFonts w:ascii="Garamond" w:hAnsi="Garamond"/>
        </w:rPr>
        <w:t xml:space="preserve">can be expected to beat the </w:t>
      </w:r>
      <w:r w:rsidR="00B2441B">
        <w:rPr>
          <w:rFonts w:ascii="Garamond" w:hAnsi="Garamond"/>
        </w:rPr>
        <w:t>industry by at least 1.5%, highlighting the irrationality</w:t>
      </w:r>
      <w:r w:rsidR="00506816">
        <w:rPr>
          <w:rFonts w:ascii="Garamond" w:hAnsi="Garamond"/>
        </w:rPr>
        <w:t xml:space="preserve"> </w:t>
      </w:r>
      <w:r w:rsidR="00B2441B">
        <w:rPr>
          <w:rFonts w:ascii="Garamond" w:hAnsi="Garamond"/>
        </w:rPr>
        <w:t xml:space="preserve">behind </w:t>
      </w:r>
      <w:r w:rsidR="00AD2338">
        <w:rPr>
          <w:rFonts w:ascii="Garamond" w:hAnsi="Garamond"/>
        </w:rPr>
        <w:t>the</w:t>
      </w:r>
      <w:r w:rsidR="00B2441B">
        <w:rPr>
          <w:rFonts w:ascii="Garamond" w:hAnsi="Garamond"/>
        </w:rPr>
        <w:t xml:space="preserve"> sudden price </w:t>
      </w:r>
      <w:r w:rsidR="000A5B18">
        <w:rPr>
          <w:rFonts w:ascii="Garamond" w:hAnsi="Garamond"/>
        </w:rPr>
        <w:t>drop.</w:t>
      </w:r>
    </w:p>
    <w:p w14:paraId="3ED33F6C" w14:textId="426FE8CB" w:rsidR="001B5229" w:rsidRDefault="00FF6521" w:rsidP="004D0C30">
      <w:pPr>
        <w:rPr>
          <w:rFonts w:ascii="Garamond" w:hAnsi="Garamond"/>
          <w:b/>
          <w:bCs/>
        </w:rPr>
      </w:pPr>
      <w:r>
        <w:rPr>
          <w:rFonts w:ascii="Garamond" w:hAnsi="Garamond"/>
          <w:b/>
          <w:bCs/>
        </w:rPr>
        <w:t>D</w:t>
      </w:r>
      <w:r w:rsidR="001B5229" w:rsidRPr="00D14C31">
        <w:rPr>
          <w:rFonts w:ascii="Garamond" w:hAnsi="Garamond"/>
          <w:b/>
          <w:bCs/>
        </w:rPr>
        <w:t xml:space="preserve">evelopment of </w:t>
      </w:r>
      <w:r w:rsidR="00300350">
        <w:rPr>
          <w:rFonts w:ascii="Garamond" w:hAnsi="Garamond"/>
          <w:b/>
          <w:bCs/>
        </w:rPr>
        <w:t>E-commerce</w:t>
      </w:r>
    </w:p>
    <w:p w14:paraId="4B656ECC" w14:textId="43BD4249" w:rsidR="0070341A" w:rsidRDefault="001B5229" w:rsidP="004964E5">
      <w:pPr>
        <w:rPr>
          <w:rFonts w:ascii="Garamond" w:hAnsi="Garamond"/>
        </w:rPr>
      </w:pPr>
      <w:r w:rsidRPr="00D14C31">
        <w:rPr>
          <w:rFonts w:ascii="Garamond" w:hAnsi="Garamond"/>
        </w:rPr>
        <w:t xml:space="preserve">Enhancing </w:t>
      </w:r>
      <w:r w:rsidR="006172D0">
        <w:rPr>
          <w:rFonts w:ascii="Garamond" w:hAnsi="Garamond"/>
        </w:rPr>
        <w:t xml:space="preserve">the </w:t>
      </w:r>
      <w:r w:rsidRPr="00D14C31">
        <w:rPr>
          <w:rFonts w:ascii="Garamond" w:hAnsi="Garamond"/>
        </w:rPr>
        <w:t>digital experience</w:t>
      </w:r>
      <w:r w:rsidR="006172D0">
        <w:rPr>
          <w:rFonts w:ascii="Garamond" w:hAnsi="Garamond"/>
        </w:rPr>
        <w:t xml:space="preserve"> has been one of Ulta’s </w:t>
      </w:r>
      <w:r w:rsidR="004146AF">
        <w:rPr>
          <w:rFonts w:ascii="Garamond" w:hAnsi="Garamond"/>
        </w:rPr>
        <w:t>key strategic pillars to which they have made signific</w:t>
      </w:r>
      <w:r w:rsidR="00724FE6">
        <w:rPr>
          <w:rFonts w:ascii="Garamond" w:hAnsi="Garamond"/>
        </w:rPr>
        <w:t>ant</w:t>
      </w:r>
      <w:r w:rsidR="004146AF">
        <w:rPr>
          <w:rFonts w:ascii="Garamond" w:hAnsi="Garamond"/>
        </w:rPr>
        <w:t xml:space="preserve"> progress.</w:t>
      </w:r>
      <w:r w:rsidR="00366DF9">
        <w:rPr>
          <w:rFonts w:ascii="Garamond" w:hAnsi="Garamond"/>
        </w:rPr>
        <w:t xml:space="preserve"> This mission comes as the industry consumer leans towards an omni-channel experience. As stated in </w:t>
      </w:r>
      <w:r w:rsidR="00C7340B">
        <w:rPr>
          <w:rFonts w:ascii="Garamond" w:hAnsi="Garamond"/>
        </w:rPr>
        <w:t>the</w:t>
      </w:r>
      <w:r w:rsidR="00724FE6">
        <w:rPr>
          <w:rFonts w:ascii="Garamond" w:hAnsi="Garamond"/>
        </w:rPr>
        <w:t xml:space="preserve"> </w:t>
      </w:r>
      <w:r w:rsidR="00366DF9">
        <w:rPr>
          <w:rFonts w:ascii="Garamond" w:hAnsi="Garamond"/>
        </w:rPr>
        <w:t>McKinsey report</w:t>
      </w:r>
      <w:r w:rsidR="008F31C8">
        <w:rPr>
          <w:rFonts w:ascii="Garamond" w:hAnsi="Garamond"/>
        </w:rPr>
        <w:t xml:space="preserve"> </w:t>
      </w:r>
      <w:r w:rsidR="00C7340B">
        <w:rPr>
          <w:rFonts w:ascii="Garamond" w:hAnsi="Garamond"/>
        </w:rPr>
        <w:t xml:space="preserve">titled </w:t>
      </w:r>
      <w:r w:rsidR="008F31C8">
        <w:rPr>
          <w:rFonts w:ascii="Garamond" w:hAnsi="Garamond"/>
        </w:rPr>
        <w:t>“</w:t>
      </w:r>
      <w:r w:rsidR="008F31C8" w:rsidRPr="008F31C8">
        <w:rPr>
          <w:rFonts w:ascii="Garamond" w:hAnsi="Garamond"/>
        </w:rPr>
        <w:t>The beauty market in 2023: A special State of Fashion report</w:t>
      </w:r>
      <w:r w:rsidR="008F31C8">
        <w:rPr>
          <w:rFonts w:ascii="Garamond" w:hAnsi="Garamond"/>
        </w:rPr>
        <w:t>”</w:t>
      </w:r>
      <w:r w:rsidR="00366DF9">
        <w:rPr>
          <w:rFonts w:ascii="Garamond" w:hAnsi="Garamond"/>
        </w:rPr>
        <w:t xml:space="preserve">, </w:t>
      </w:r>
      <w:r w:rsidR="004900A8">
        <w:rPr>
          <w:rFonts w:ascii="Garamond" w:hAnsi="Garamond"/>
        </w:rPr>
        <w:t>“</w:t>
      </w:r>
      <w:r w:rsidR="00366DF9" w:rsidRPr="00D14C31">
        <w:rPr>
          <w:rFonts w:ascii="Garamond" w:hAnsi="Garamond"/>
        </w:rPr>
        <w:t>consumers are increasingly shopping across price points and report that both online and offline stores influence their shopping behavior. Their preference for omnichannel shopping is expected to continue to fuel legacy brands’ shift online and independent labels’ move into a brick-and-mortar presence.</w:t>
      </w:r>
      <w:r w:rsidR="004900A8">
        <w:rPr>
          <w:rFonts w:ascii="Garamond" w:hAnsi="Garamond"/>
        </w:rPr>
        <w:t>”</w:t>
      </w:r>
      <w:r w:rsidR="00366DF9">
        <w:rPr>
          <w:rFonts w:ascii="Garamond" w:hAnsi="Garamond"/>
        </w:rPr>
        <w:t xml:space="preserve"> </w:t>
      </w:r>
      <w:r w:rsidR="00170114">
        <w:rPr>
          <w:rFonts w:ascii="Garamond" w:hAnsi="Garamond"/>
        </w:rPr>
        <w:t xml:space="preserve">To quantify this preference and its future impact, Figure </w:t>
      </w:r>
      <w:r w:rsidR="007425D6">
        <w:rPr>
          <w:rFonts w:ascii="Garamond" w:hAnsi="Garamond"/>
        </w:rPr>
        <w:t>9</w:t>
      </w:r>
      <w:r w:rsidR="00F44947">
        <w:rPr>
          <w:rFonts w:ascii="Garamond" w:hAnsi="Garamond"/>
        </w:rPr>
        <w:t xml:space="preserve"> within Industry Breakdown</w:t>
      </w:r>
      <w:r w:rsidR="00170114">
        <w:rPr>
          <w:rFonts w:ascii="Garamond" w:hAnsi="Garamond"/>
        </w:rPr>
        <w:t xml:space="preserve"> highlights how the </w:t>
      </w:r>
      <w:r w:rsidR="00300350">
        <w:rPr>
          <w:rFonts w:ascii="Garamond" w:hAnsi="Garamond"/>
        </w:rPr>
        <w:t>E-commerce</w:t>
      </w:r>
      <w:r w:rsidR="00170114">
        <w:rPr>
          <w:rFonts w:ascii="Garamond" w:hAnsi="Garamond"/>
        </w:rPr>
        <w:t xml:space="preserve"> channel is expected to grow 12% year over year from 2022-2027</w:t>
      </w:r>
      <w:r w:rsidR="009E483C">
        <w:rPr>
          <w:rFonts w:ascii="Garamond" w:hAnsi="Garamond"/>
        </w:rPr>
        <w:t>,</w:t>
      </w:r>
      <w:r w:rsidR="00170114">
        <w:rPr>
          <w:rFonts w:ascii="Garamond" w:hAnsi="Garamond"/>
        </w:rPr>
        <w:t xml:space="preserve"> and Specialty Retail is expected to grow 7% year over year during the same </w:t>
      </w:r>
      <w:r w:rsidR="00D82CEE">
        <w:rPr>
          <w:rFonts w:ascii="Garamond" w:hAnsi="Garamond"/>
        </w:rPr>
        <w:t>period</w:t>
      </w:r>
      <w:r w:rsidR="00170114">
        <w:rPr>
          <w:rFonts w:ascii="Garamond" w:hAnsi="Garamond"/>
        </w:rPr>
        <w:t xml:space="preserve">. </w:t>
      </w:r>
      <w:r w:rsidR="009E483C">
        <w:rPr>
          <w:rFonts w:ascii="Garamond" w:hAnsi="Garamond"/>
        </w:rPr>
        <w:t>Additionally, n</w:t>
      </w:r>
      <w:r w:rsidR="00366DF9">
        <w:rPr>
          <w:rFonts w:ascii="Garamond" w:hAnsi="Garamond"/>
        </w:rPr>
        <w:t xml:space="preserve">ot only are consumers drawn more to an omni-channel experience, but they are also willing to spend more money within it. </w:t>
      </w:r>
      <w:r w:rsidR="004146AF">
        <w:rPr>
          <w:rFonts w:ascii="Garamond" w:hAnsi="Garamond"/>
        </w:rPr>
        <w:t xml:space="preserve">Per the 2024 Q1 earnings call, </w:t>
      </w:r>
      <w:r w:rsidR="00366DF9" w:rsidRPr="00D14C31">
        <w:rPr>
          <w:rFonts w:ascii="Garamond" w:hAnsi="Garamond"/>
        </w:rPr>
        <w:t xml:space="preserve">loyalty members </w:t>
      </w:r>
      <w:r w:rsidR="00300350">
        <w:rPr>
          <w:rFonts w:ascii="Garamond" w:hAnsi="Garamond"/>
        </w:rPr>
        <w:t>who</w:t>
      </w:r>
      <w:r w:rsidR="00366DF9">
        <w:rPr>
          <w:rFonts w:ascii="Garamond" w:hAnsi="Garamond"/>
        </w:rPr>
        <w:t xml:space="preserve"> </w:t>
      </w:r>
      <w:r w:rsidR="00366DF9" w:rsidRPr="00D14C31">
        <w:rPr>
          <w:rFonts w:ascii="Garamond" w:hAnsi="Garamond"/>
        </w:rPr>
        <w:t>shop both in stores and online</w:t>
      </w:r>
      <w:r w:rsidR="00366DF9">
        <w:rPr>
          <w:rFonts w:ascii="Garamond" w:hAnsi="Garamond"/>
        </w:rPr>
        <w:t xml:space="preserve"> </w:t>
      </w:r>
      <w:r w:rsidR="00366DF9" w:rsidRPr="00D14C31">
        <w:rPr>
          <w:rFonts w:ascii="Garamond" w:hAnsi="Garamond"/>
        </w:rPr>
        <w:t>spend</w:t>
      </w:r>
      <w:r w:rsidR="00366DF9">
        <w:rPr>
          <w:rFonts w:ascii="Garamond" w:hAnsi="Garamond"/>
        </w:rPr>
        <w:t xml:space="preserve"> </w:t>
      </w:r>
      <w:r w:rsidR="00366DF9" w:rsidRPr="00D14C31">
        <w:rPr>
          <w:rFonts w:ascii="Garamond" w:hAnsi="Garamond"/>
        </w:rPr>
        <w:t>nearly 3 times as much as retail</w:t>
      </w:r>
      <w:r w:rsidR="00300350">
        <w:rPr>
          <w:rFonts w:ascii="Garamond" w:hAnsi="Garamond"/>
        </w:rPr>
        <w:t>-</w:t>
      </w:r>
      <w:r w:rsidR="00366DF9" w:rsidRPr="00D14C31">
        <w:rPr>
          <w:rFonts w:ascii="Garamond" w:hAnsi="Garamond"/>
        </w:rPr>
        <w:t>only guests</w:t>
      </w:r>
      <w:r w:rsidR="00366DF9">
        <w:rPr>
          <w:rFonts w:ascii="Garamond" w:hAnsi="Garamond"/>
        </w:rPr>
        <w:t xml:space="preserve">. </w:t>
      </w:r>
    </w:p>
    <w:p w14:paraId="606FE79C" w14:textId="2707DB4D" w:rsidR="00F300E2" w:rsidRDefault="00366DF9" w:rsidP="004146AF">
      <w:pPr>
        <w:rPr>
          <w:rFonts w:ascii="Garamond" w:hAnsi="Garamond"/>
        </w:rPr>
      </w:pPr>
      <w:r>
        <w:rPr>
          <w:rFonts w:ascii="Garamond" w:hAnsi="Garamond"/>
        </w:rPr>
        <w:t>To take advantage of such trends,</w:t>
      </w:r>
      <w:r w:rsidR="008D596C">
        <w:rPr>
          <w:rFonts w:ascii="Garamond" w:hAnsi="Garamond"/>
        </w:rPr>
        <w:t xml:space="preserve"> Ulta </w:t>
      </w:r>
      <w:r>
        <w:rPr>
          <w:rFonts w:ascii="Garamond" w:hAnsi="Garamond"/>
        </w:rPr>
        <w:t xml:space="preserve">has focused on enhancing the user experience within its </w:t>
      </w:r>
      <w:r w:rsidR="00300350">
        <w:rPr>
          <w:rFonts w:ascii="Garamond" w:hAnsi="Garamond"/>
        </w:rPr>
        <w:t>E-commerce</w:t>
      </w:r>
      <w:r>
        <w:rPr>
          <w:rFonts w:ascii="Garamond" w:hAnsi="Garamond"/>
        </w:rPr>
        <w:t xml:space="preserve"> app by simpl</w:t>
      </w:r>
      <w:r w:rsidR="00170114">
        <w:rPr>
          <w:rFonts w:ascii="Garamond" w:hAnsi="Garamond"/>
        </w:rPr>
        <w:t xml:space="preserve">ifying the user interface and offering new categories such as customer favorites. As a result of these improvements, </w:t>
      </w:r>
      <w:r w:rsidR="004146AF">
        <w:rPr>
          <w:rFonts w:ascii="Garamond" w:hAnsi="Garamond"/>
        </w:rPr>
        <w:t>Ulta’s d</w:t>
      </w:r>
      <w:r w:rsidR="004146AF" w:rsidRPr="004146AF">
        <w:rPr>
          <w:rFonts w:ascii="Garamond" w:hAnsi="Garamond"/>
        </w:rPr>
        <w:t xml:space="preserve">igital app </w:t>
      </w:r>
      <w:r w:rsidR="00170114">
        <w:rPr>
          <w:rFonts w:ascii="Garamond" w:hAnsi="Garamond"/>
        </w:rPr>
        <w:t>now a</w:t>
      </w:r>
      <w:r w:rsidR="004146AF" w:rsidRPr="004146AF">
        <w:rPr>
          <w:rFonts w:ascii="Garamond" w:hAnsi="Garamond"/>
        </w:rPr>
        <w:t>ccount</w:t>
      </w:r>
      <w:r w:rsidR="00170114">
        <w:rPr>
          <w:rFonts w:ascii="Garamond" w:hAnsi="Garamond"/>
        </w:rPr>
        <w:t>s</w:t>
      </w:r>
      <w:r w:rsidR="004146AF" w:rsidRPr="004146AF">
        <w:rPr>
          <w:rFonts w:ascii="Garamond" w:hAnsi="Garamond"/>
        </w:rPr>
        <w:t xml:space="preserve"> for 57% of </w:t>
      </w:r>
      <w:r w:rsidR="00300350">
        <w:rPr>
          <w:rFonts w:ascii="Garamond" w:hAnsi="Garamond"/>
        </w:rPr>
        <w:t>E-commerce</w:t>
      </w:r>
      <w:r w:rsidR="004146AF" w:rsidRPr="004146AF">
        <w:rPr>
          <w:rFonts w:ascii="Garamond" w:hAnsi="Garamond"/>
        </w:rPr>
        <w:t xml:space="preserve">, </w:t>
      </w:r>
      <w:r w:rsidR="004D4F4E">
        <w:rPr>
          <w:rFonts w:ascii="Garamond" w:hAnsi="Garamond"/>
        </w:rPr>
        <w:t xml:space="preserve">an increase of </w:t>
      </w:r>
      <w:r w:rsidR="004146AF" w:rsidRPr="004146AF">
        <w:rPr>
          <w:rFonts w:ascii="Garamond" w:hAnsi="Garamond"/>
        </w:rPr>
        <w:t>4.5% compared to last year</w:t>
      </w:r>
      <w:r w:rsidR="00170114">
        <w:rPr>
          <w:rFonts w:ascii="Garamond" w:hAnsi="Garamond"/>
        </w:rPr>
        <w:t xml:space="preserve">. A new partnership with </w:t>
      </w:r>
      <w:proofErr w:type="spellStart"/>
      <w:r w:rsidR="00300350">
        <w:rPr>
          <w:rFonts w:ascii="Garamond" w:hAnsi="Garamond"/>
        </w:rPr>
        <w:t>DoorDash</w:t>
      </w:r>
      <w:proofErr w:type="spellEnd"/>
      <w:r w:rsidR="00170114">
        <w:rPr>
          <w:rFonts w:ascii="Garamond" w:hAnsi="Garamond"/>
        </w:rPr>
        <w:t xml:space="preserve"> has also allowed</w:t>
      </w:r>
      <w:r w:rsidR="008D596C">
        <w:rPr>
          <w:rFonts w:ascii="Garamond" w:hAnsi="Garamond"/>
        </w:rPr>
        <w:t xml:space="preserve"> Ulta </w:t>
      </w:r>
      <w:r w:rsidR="00170114">
        <w:rPr>
          <w:rFonts w:ascii="Garamond" w:hAnsi="Garamond"/>
        </w:rPr>
        <w:t xml:space="preserve">to extend their product line to over 70 million active </w:t>
      </w:r>
      <w:proofErr w:type="spellStart"/>
      <w:r w:rsidR="00170114">
        <w:rPr>
          <w:rFonts w:ascii="Garamond" w:hAnsi="Garamond"/>
        </w:rPr>
        <w:t>DoorDash</w:t>
      </w:r>
      <w:proofErr w:type="spellEnd"/>
      <w:r w:rsidR="00170114">
        <w:rPr>
          <w:rFonts w:ascii="Garamond" w:hAnsi="Garamond"/>
        </w:rPr>
        <w:t xml:space="preserve"> users</w:t>
      </w:r>
      <w:r w:rsidR="002432CC">
        <w:rPr>
          <w:rFonts w:ascii="Garamond" w:hAnsi="Garamond"/>
        </w:rPr>
        <w:t>.</w:t>
      </w:r>
      <w:r w:rsidR="0085270E">
        <w:rPr>
          <w:rFonts w:ascii="Garamond" w:hAnsi="Garamond"/>
        </w:rPr>
        <w:t xml:space="preserve"> </w:t>
      </w:r>
      <w:r w:rsidR="00170114">
        <w:rPr>
          <w:rFonts w:ascii="Garamond" w:hAnsi="Garamond"/>
        </w:rPr>
        <w:t xml:space="preserve">To </w:t>
      </w:r>
      <w:r w:rsidR="002A50B2">
        <w:rPr>
          <w:rFonts w:ascii="Garamond" w:hAnsi="Garamond"/>
        </w:rPr>
        <w:t xml:space="preserve">further </w:t>
      </w:r>
      <w:r w:rsidR="00170114">
        <w:rPr>
          <w:rFonts w:ascii="Garamond" w:hAnsi="Garamond"/>
        </w:rPr>
        <w:t>accommodate t</w:t>
      </w:r>
      <w:r w:rsidR="002A50B2">
        <w:rPr>
          <w:rFonts w:ascii="Garamond" w:hAnsi="Garamond"/>
        </w:rPr>
        <w:t>his</w:t>
      </w:r>
      <w:r w:rsidR="00170114">
        <w:rPr>
          <w:rFonts w:ascii="Garamond" w:hAnsi="Garamond"/>
        </w:rPr>
        <w:t xml:space="preserve"> </w:t>
      </w:r>
      <w:r w:rsidR="00C808F1">
        <w:rPr>
          <w:rFonts w:ascii="Garamond" w:hAnsi="Garamond"/>
        </w:rPr>
        <w:t xml:space="preserve">expected </w:t>
      </w:r>
      <w:r w:rsidR="00170114">
        <w:rPr>
          <w:rFonts w:ascii="Garamond" w:hAnsi="Garamond"/>
        </w:rPr>
        <w:t>growth</w:t>
      </w:r>
      <w:r w:rsidR="00C808F1">
        <w:rPr>
          <w:rFonts w:ascii="Garamond" w:hAnsi="Garamond"/>
        </w:rPr>
        <w:t>,</w:t>
      </w:r>
      <w:r w:rsidR="008D596C">
        <w:rPr>
          <w:rFonts w:ascii="Garamond" w:hAnsi="Garamond"/>
        </w:rPr>
        <w:t xml:space="preserve"> Ulta </w:t>
      </w:r>
      <w:r w:rsidR="00C808F1">
        <w:rPr>
          <w:rFonts w:ascii="Garamond" w:hAnsi="Garamond"/>
        </w:rPr>
        <w:t xml:space="preserve">has </w:t>
      </w:r>
      <w:r w:rsidR="00EA2B2D">
        <w:rPr>
          <w:rFonts w:ascii="Garamond" w:hAnsi="Garamond"/>
        </w:rPr>
        <w:t>begun opening</w:t>
      </w:r>
      <w:r w:rsidR="00C808F1">
        <w:rPr>
          <w:rFonts w:ascii="Garamond" w:hAnsi="Garamond"/>
        </w:rPr>
        <w:t xml:space="preserve"> market fulfil</w:t>
      </w:r>
      <w:r w:rsidR="00300350">
        <w:rPr>
          <w:rFonts w:ascii="Garamond" w:hAnsi="Garamond"/>
        </w:rPr>
        <w:t>l</w:t>
      </w:r>
      <w:r w:rsidR="00C808F1">
        <w:rPr>
          <w:rFonts w:ascii="Garamond" w:hAnsi="Garamond"/>
        </w:rPr>
        <w:t xml:space="preserve">ment centers, which while smaller than their regional </w:t>
      </w:r>
      <w:r w:rsidR="00C808F1">
        <w:rPr>
          <w:rFonts w:ascii="Garamond" w:hAnsi="Garamond"/>
        </w:rPr>
        <w:lastRenderedPageBreak/>
        <w:t xml:space="preserve">distribution centers, focus primarily on Ulta’s most popular products and support </w:t>
      </w:r>
      <w:r w:rsidR="00300350">
        <w:rPr>
          <w:rFonts w:ascii="Garamond" w:hAnsi="Garamond"/>
        </w:rPr>
        <w:t>E-commerce</w:t>
      </w:r>
      <w:r w:rsidR="00C808F1">
        <w:rPr>
          <w:rFonts w:ascii="Garamond" w:hAnsi="Garamond"/>
        </w:rPr>
        <w:t xml:space="preserve"> demand.</w:t>
      </w:r>
      <w:r w:rsidR="00EA2B2D">
        <w:rPr>
          <w:rFonts w:ascii="Garamond" w:hAnsi="Garamond"/>
        </w:rPr>
        <w:t xml:space="preserve"> Such </w:t>
      </w:r>
      <w:r w:rsidR="00300350">
        <w:rPr>
          <w:rFonts w:ascii="Garamond" w:hAnsi="Garamond"/>
        </w:rPr>
        <w:t>fulfillment</w:t>
      </w:r>
      <w:r w:rsidR="00D82CEE">
        <w:rPr>
          <w:rFonts w:ascii="Garamond" w:hAnsi="Garamond"/>
        </w:rPr>
        <w:t xml:space="preserve"> centers enable</w:t>
      </w:r>
      <w:r w:rsidR="008D596C">
        <w:rPr>
          <w:rFonts w:ascii="Garamond" w:hAnsi="Garamond"/>
        </w:rPr>
        <w:t xml:space="preserve"> Ulta </w:t>
      </w:r>
      <w:r w:rsidR="00D82CEE">
        <w:rPr>
          <w:rFonts w:ascii="Garamond" w:hAnsi="Garamond"/>
        </w:rPr>
        <w:t xml:space="preserve">to improve service and responsiveness across all </w:t>
      </w:r>
      <w:r w:rsidR="00300350">
        <w:rPr>
          <w:rFonts w:ascii="Garamond" w:hAnsi="Garamond"/>
        </w:rPr>
        <w:t>E-commerce</w:t>
      </w:r>
      <w:r w:rsidR="00D82CEE">
        <w:rPr>
          <w:rFonts w:ascii="Garamond" w:hAnsi="Garamond"/>
        </w:rPr>
        <w:t xml:space="preserve"> fronts, especially in markets with high store or population density, offering same-day delivery in most cases</w:t>
      </w:r>
      <w:r w:rsidR="00777EDF">
        <w:rPr>
          <w:rFonts w:ascii="Garamond" w:hAnsi="Garamond"/>
        </w:rPr>
        <w:t>.</w:t>
      </w:r>
      <w:r w:rsidR="00644B70">
        <w:rPr>
          <w:rFonts w:ascii="Garamond" w:hAnsi="Garamond"/>
        </w:rPr>
        <w:t xml:space="preserve"> </w:t>
      </w:r>
      <w:r w:rsidR="00EA2B2D">
        <w:rPr>
          <w:rFonts w:ascii="Garamond" w:hAnsi="Garamond"/>
        </w:rPr>
        <w:t xml:space="preserve">Combined, the </w:t>
      </w:r>
      <w:r w:rsidR="000972B1">
        <w:rPr>
          <w:rFonts w:ascii="Garamond" w:hAnsi="Garamond"/>
        </w:rPr>
        <w:t xml:space="preserve">renewed </w:t>
      </w:r>
      <w:r w:rsidR="00201503">
        <w:rPr>
          <w:rFonts w:ascii="Garamond" w:hAnsi="Garamond"/>
        </w:rPr>
        <w:t xml:space="preserve">supply chain and advancing storefront </w:t>
      </w:r>
      <w:r w:rsidR="00AE16A8">
        <w:rPr>
          <w:rFonts w:ascii="Garamond" w:hAnsi="Garamond"/>
        </w:rPr>
        <w:t xml:space="preserve">within </w:t>
      </w:r>
      <w:r w:rsidR="00300350">
        <w:rPr>
          <w:rFonts w:ascii="Garamond" w:hAnsi="Garamond"/>
        </w:rPr>
        <w:t>E-commerce</w:t>
      </w:r>
      <w:r w:rsidR="00AE16A8">
        <w:rPr>
          <w:rFonts w:ascii="Garamond" w:hAnsi="Garamond"/>
        </w:rPr>
        <w:t xml:space="preserve"> will </w:t>
      </w:r>
      <w:r w:rsidR="00EA2B2D">
        <w:rPr>
          <w:rFonts w:ascii="Garamond" w:hAnsi="Garamond"/>
        </w:rPr>
        <w:t xml:space="preserve">ensure </w:t>
      </w:r>
      <w:r w:rsidR="008413C8">
        <w:rPr>
          <w:rFonts w:ascii="Garamond" w:hAnsi="Garamond"/>
        </w:rPr>
        <w:t xml:space="preserve">Ulta’s </w:t>
      </w:r>
      <w:r w:rsidR="001A7973">
        <w:rPr>
          <w:rFonts w:ascii="Garamond" w:hAnsi="Garamond"/>
        </w:rPr>
        <w:t>continued</w:t>
      </w:r>
      <w:r w:rsidR="00EA2B2D">
        <w:rPr>
          <w:rFonts w:ascii="Garamond" w:hAnsi="Garamond"/>
        </w:rPr>
        <w:t xml:space="preserve"> growth as the preemptive establishment of itself within </w:t>
      </w:r>
      <w:r w:rsidR="00300350">
        <w:rPr>
          <w:rFonts w:ascii="Garamond" w:hAnsi="Garamond"/>
        </w:rPr>
        <w:t>E-commerce</w:t>
      </w:r>
      <w:r w:rsidR="00EA2B2D">
        <w:rPr>
          <w:rFonts w:ascii="Garamond" w:hAnsi="Garamond"/>
        </w:rPr>
        <w:t xml:space="preserve"> will allow</w:t>
      </w:r>
      <w:r w:rsidR="008D596C">
        <w:rPr>
          <w:rFonts w:ascii="Garamond" w:hAnsi="Garamond"/>
        </w:rPr>
        <w:t xml:space="preserve"> Ulta </w:t>
      </w:r>
      <w:r w:rsidR="00EA2B2D">
        <w:rPr>
          <w:rFonts w:ascii="Garamond" w:hAnsi="Garamond"/>
        </w:rPr>
        <w:t xml:space="preserve">to capitalize on </w:t>
      </w:r>
      <w:r w:rsidR="00676617">
        <w:rPr>
          <w:rFonts w:ascii="Garamond" w:hAnsi="Garamond"/>
        </w:rPr>
        <w:t>any</w:t>
      </w:r>
      <w:r w:rsidR="00EA2B2D">
        <w:rPr>
          <w:rFonts w:ascii="Garamond" w:hAnsi="Garamond"/>
        </w:rPr>
        <w:t xml:space="preserve"> growth</w:t>
      </w:r>
      <w:r w:rsidR="008413C8">
        <w:rPr>
          <w:rFonts w:ascii="Garamond" w:hAnsi="Garamond"/>
        </w:rPr>
        <w:t xml:space="preserve"> within the market.</w:t>
      </w:r>
    </w:p>
    <w:p w14:paraId="29F01F49" w14:textId="366936D7" w:rsidR="00074D65" w:rsidRPr="00074D65" w:rsidRDefault="001B5229" w:rsidP="00074D65">
      <w:pPr>
        <w:rPr>
          <w:rFonts w:ascii="Garamond" w:hAnsi="Garamond"/>
          <w:b/>
          <w:bCs/>
          <w:color w:val="F57B38"/>
          <w:sz w:val="28"/>
          <w:szCs w:val="28"/>
        </w:rPr>
      </w:pPr>
      <w:r w:rsidRPr="00074D65">
        <w:rPr>
          <w:rFonts w:ascii="Garamond" w:hAnsi="Garamond"/>
          <w:b/>
          <w:bCs/>
          <w:color w:val="F57B38"/>
          <w:sz w:val="28"/>
          <w:szCs w:val="28"/>
        </w:rPr>
        <w:t xml:space="preserve">Quantitative </w:t>
      </w:r>
      <w:r w:rsidR="0090378E">
        <w:rPr>
          <w:rFonts w:ascii="Garamond" w:hAnsi="Garamond"/>
          <w:b/>
          <w:bCs/>
          <w:color w:val="E97132" w:themeColor="accent2"/>
          <w:sz w:val="28"/>
          <w:szCs w:val="28"/>
        </w:rPr>
        <w:t>A</w:t>
      </w:r>
      <w:r w:rsidRPr="00A93CE5">
        <w:rPr>
          <w:rFonts w:ascii="Garamond" w:hAnsi="Garamond"/>
          <w:b/>
          <w:bCs/>
          <w:color w:val="E97132" w:themeColor="accent2"/>
          <w:sz w:val="28"/>
          <w:szCs w:val="28"/>
        </w:rPr>
        <w:t>nalysis</w:t>
      </w:r>
    </w:p>
    <w:p w14:paraId="73E2CBBB" w14:textId="39277DCF" w:rsidR="00074D65" w:rsidRPr="00B706A2" w:rsidRDefault="00074D65" w:rsidP="004964E5">
      <w:pPr>
        <w:rPr>
          <w:rFonts w:ascii="Garamond" w:hAnsi="Garamond"/>
          <w:color w:val="000000" w:themeColor="text1"/>
        </w:rPr>
      </w:pPr>
      <w:r w:rsidRPr="007D5924">
        <w:rPr>
          <w:rFonts w:ascii="Garamond" w:hAnsi="Garamond"/>
          <w:color w:val="000000" w:themeColor="text1"/>
        </w:rPr>
        <w:t xml:space="preserve">Over the past 10 </w:t>
      </w:r>
      <w:r w:rsidR="00177692">
        <w:rPr>
          <w:rFonts w:ascii="Garamond" w:hAnsi="Garamond"/>
          <w:color w:val="000000" w:themeColor="text1"/>
        </w:rPr>
        <w:t>fiscal periods</w:t>
      </w:r>
      <w:r w:rsidRPr="007D5924">
        <w:rPr>
          <w:rFonts w:ascii="Garamond" w:hAnsi="Garamond"/>
          <w:color w:val="000000" w:themeColor="text1"/>
        </w:rPr>
        <w:t>, Ulta’s financials have proved</w:t>
      </w:r>
      <w:r w:rsidR="001E23B3">
        <w:rPr>
          <w:rFonts w:ascii="Garamond" w:hAnsi="Garamond"/>
          <w:color w:val="000000" w:themeColor="text1"/>
        </w:rPr>
        <w:t xml:space="preserve"> </w:t>
      </w:r>
      <w:r w:rsidR="000B4B39">
        <w:rPr>
          <w:rFonts w:ascii="Garamond" w:hAnsi="Garamond"/>
          <w:color w:val="000000" w:themeColor="text1"/>
        </w:rPr>
        <w:t xml:space="preserve">strong </w:t>
      </w:r>
      <w:r w:rsidR="004A0412">
        <w:rPr>
          <w:rFonts w:ascii="Garamond" w:hAnsi="Garamond"/>
          <w:color w:val="000000" w:themeColor="text1"/>
        </w:rPr>
        <w:t>against market competitors and stores of similar structure.</w:t>
      </w:r>
      <w:r w:rsidRPr="007D5924">
        <w:rPr>
          <w:rFonts w:ascii="Garamond" w:hAnsi="Garamond"/>
          <w:color w:val="000000" w:themeColor="text1"/>
        </w:rPr>
        <w:t xml:space="preserve"> </w:t>
      </w:r>
      <w:r w:rsidR="00BF597B" w:rsidRPr="007D5924">
        <w:rPr>
          <w:rFonts w:ascii="Garamond" w:hAnsi="Garamond"/>
          <w:color w:val="000000" w:themeColor="text1"/>
        </w:rPr>
        <w:t xml:space="preserve">The following figure organizes the </w:t>
      </w:r>
      <w:r w:rsidR="00BF597B">
        <w:rPr>
          <w:rFonts w:ascii="Garamond" w:hAnsi="Garamond"/>
          <w:color w:val="000000" w:themeColor="text1"/>
        </w:rPr>
        <w:t>revenue and earnings growth of</w:t>
      </w:r>
      <w:r w:rsidR="00127225">
        <w:rPr>
          <w:rFonts w:ascii="Garamond" w:hAnsi="Garamond"/>
          <w:color w:val="000000" w:themeColor="text1"/>
        </w:rPr>
        <w:t xml:space="preserve"> such </w:t>
      </w:r>
      <w:r w:rsidR="002F66EB">
        <w:rPr>
          <w:rFonts w:ascii="Garamond" w:hAnsi="Garamond"/>
          <w:color w:val="000000" w:themeColor="text1"/>
        </w:rPr>
        <w:t>companies</w:t>
      </w:r>
      <w:r w:rsidR="0007568E">
        <w:rPr>
          <w:rFonts w:ascii="Garamond" w:hAnsi="Garamond"/>
          <w:color w:val="000000" w:themeColor="text1"/>
        </w:rPr>
        <w:t>.</w:t>
      </w:r>
    </w:p>
    <w:tbl>
      <w:tblPr>
        <w:tblStyle w:val="TableGrid"/>
        <w:tblW w:w="0" w:type="auto"/>
        <w:tblLook w:val="04A0" w:firstRow="1" w:lastRow="0" w:firstColumn="1" w:lastColumn="0" w:noHBand="0" w:noVBand="1"/>
      </w:tblPr>
      <w:tblGrid>
        <w:gridCol w:w="2515"/>
        <w:gridCol w:w="1968"/>
        <w:gridCol w:w="2035"/>
        <w:gridCol w:w="2237"/>
        <w:gridCol w:w="2035"/>
      </w:tblGrid>
      <w:tr w:rsidR="003E377B" w14:paraId="3FB524C6" w14:textId="3FCFCA64" w:rsidTr="000971A4">
        <w:tc>
          <w:tcPr>
            <w:tcW w:w="2515" w:type="dxa"/>
            <w:vMerge w:val="restart"/>
            <w:shd w:val="clear" w:color="auto" w:fill="E97132" w:themeFill="accent2"/>
          </w:tcPr>
          <w:p w14:paraId="463634BD" w14:textId="5B95A10A" w:rsidR="003E377B" w:rsidRPr="000971A4" w:rsidRDefault="003E377B" w:rsidP="00074D65">
            <w:pPr>
              <w:rPr>
                <w:rFonts w:ascii="Garamond" w:hAnsi="Garamond"/>
                <w:b/>
                <w:bCs/>
              </w:rPr>
            </w:pPr>
            <w:r w:rsidRPr="000971A4">
              <w:rPr>
                <w:rFonts w:ascii="Garamond" w:hAnsi="Garamond"/>
                <w:b/>
                <w:bCs/>
              </w:rPr>
              <w:t>Company</w:t>
            </w:r>
          </w:p>
        </w:tc>
        <w:tc>
          <w:tcPr>
            <w:tcW w:w="4003" w:type="dxa"/>
            <w:gridSpan w:val="2"/>
            <w:shd w:val="clear" w:color="auto" w:fill="E97132" w:themeFill="accent2"/>
          </w:tcPr>
          <w:p w14:paraId="613200E4" w14:textId="77E20EDE" w:rsidR="003E377B" w:rsidRPr="000971A4" w:rsidRDefault="003E377B" w:rsidP="003E377B">
            <w:pPr>
              <w:jc w:val="center"/>
              <w:rPr>
                <w:rFonts w:ascii="Garamond" w:hAnsi="Garamond"/>
                <w:b/>
                <w:bCs/>
              </w:rPr>
            </w:pPr>
            <w:r w:rsidRPr="000971A4">
              <w:rPr>
                <w:rFonts w:ascii="Garamond" w:hAnsi="Garamond"/>
                <w:b/>
                <w:bCs/>
              </w:rPr>
              <w:t>Revenue Growth</w:t>
            </w:r>
          </w:p>
        </w:tc>
        <w:tc>
          <w:tcPr>
            <w:tcW w:w="4272" w:type="dxa"/>
            <w:gridSpan w:val="2"/>
            <w:shd w:val="clear" w:color="auto" w:fill="E97132" w:themeFill="accent2"/>
          </w:tcPr>
          <w:p w14:paraId="2194274F" w14:textId="57C6D667" w:rsidR="003E377B" w:rsidRPr="000971A4" w:rsidRDefault="003E377B" w:rsidP="003E377B">
            <w:pPr>
              <w:jc w:val="center"/>
              <w:rPr>
                <w:rFonts w:ascii="Garamond" w:hAnsi="Garamond"/>
                <w:b/>
                <w:bCs/>
              </w:rPr>
            </w:pPr>
            <w:r w:rsidRPr="000971A4">
              <w:rPr>
                <w:rFonts w:ascii="Garamond" w:hAnsi="Garamond"/>
                <w:b/>
                <w:bCs/>
              </w:rPr>
              <w:t>Earnings Growth</w:t>
            </w:r>
          </w:p>
        </w:tc>
      </w:tr>
      <w:tr w:rsidR="001042A3" w14:paraId="44FFF397" w14:textId="77777777" w:rsidTr="000971A4">
        <w:tc>
          <w:tcPr>
            <w:tcW w:w="2515" w:type="dxa"/>
            <w:vMerge/>
            <w:shd w:val="clear" w:color="auto" w:fill="E97132" w:themeFill="accent2"/>
          </w:tcPr>
          <w:p w14:paraId="70A26509" w14:textId="77777777" w:rsidR="001042A3" w:rsidRDefault="001042A3" w:rsidP="001042A3">
            <w:pPr>
              <w:rPr>
                <w:rFonts w:ascii="Garamond" w:hAnsi="Garamond"/>
              </w:rPr>
            </w:pPr>
          </w:p>
        </w:tc>
        <w:tc>
          <w:tcPr>
            <w:tcW w:w="1968" w:type="dxa"/>
          </w:tcPr>
          <w:p w14:paraId="210AF7DB" w14:textId="56FD6BF4" w:rsidR="001042A3" w:rsidRDefault="001042A3" w:rsidP="001042A3">
            <w:pPr>
              <w:jc w:val="center"/>
              <w:rPr>
                <w:rFonts w:ascii="Garamond" w:hAnsi="Garamond"/>
              </w:rPr>
            </w:pPr>
            <w:r>
              <w:rPr>
                <w:rFonts w:ascii="Garamond" w:hAnsi="Garamond"/>
              </w:rPr>
              <w:t>Unfactored 10-Year</w:t>
            </w:r>
          </w:p>
        </w:tc>
        <w:tc>
          <w:tcPr>
            <w:tcW w:w="2035" w:type="dxa"/>
          </w:tcPr>
          <w:p w14:paraId="3CD345E1" w14:textId="1B0C6C6D" w:rsidR="001042A3" w:rsidRDefault="001042A3" w:rsidP="001042A3">
            <w:pPr>
              <w:jc w:val="center"/>
              <w:rPr>
                <w:rFonts w:ascii="Garamond" w:hAnsi="Garamond"/>
              </w:rPr>
            </w:pPr>
            <w:r>
              <w:rPr>
                <w:rFonts w:ascii="Garamond" w:hAnsi="Garamond"/>
              </w:rPr>
              <w:t>Factored 12-Year</w:t>
            </w:r>
          </w:p>
        </w:tc>
        <w:tc>
          <w:tcPr>
            <w:tcW w:w="2237" w:type="dxa"/>
          </w:tcPr>
          <w:p w14:paraId="102CA0DB" w14:textId="48AF2D7C" w:rsidR="001042A3" w:rsidRDefault="001042A3" w:rsidP="0092119F">
            <w:pPr>
              <w:jc w:val="center"/>
              <w:rPr>
                <w:rFonts w:ascii="Garamond" w:hAnsi="Garamond"/>
              </w:rPr>
            </w:pPr>
            <w:r>
              <w:rPr>
                <w:rFonts w:ascii="Garamond" w:hAnsi="Garamond"/>
              </w:rPr>
              <w:t>Unfactored 10-Year</w:t>
            </w:r>
          </w:p>
        </w:tc>
        <w:tc>
          <w:tcPr>
            <w:tcW w:w="2035" w:type="dxa"/>
          </w:tcPr>
          <w:p w14:paraId="1B23BC6A" w14:textId="0370BF6C" w:rsidR="001042A3" w:rsidRDefault="001042A3" w:rsidP="0092119F">
            <w:pPr>
              <w:jc w:val="center"/>
              <w:rPr>
                <w:rFonts w:ascii="Garamond" w:hAnsi="Garamond"/>
              </w:rPr>
            </w:pPr>
            <w:r>
              <w:rPr>
                <w:rFonts w:ascii="Garamond" w:hAnsi="Garamond"/>
              </w:rPr>
              <w:t>Factored 12-Year</w:t>
            </w:r>
          </w:p>
        </w:tc>
      </w:tr>
      <w:tr w:rsidR="003E377B" w14:paraId="0BA1DA3A" w14:textId="33526ED2" w:rsidTr="000971A4">
        <w:tc>
          <w:tcPr>
            <w:tcW w:w="2515" w:type="dxa"/>
            <w:shd w:val="clear" w:color="auto" w:fill="FFFFFF" w:themeFill="background1"/>
          </w:tcPr>
          <w:p w14:paraId="2350943A" w14:textId="2869ABD6" w:rsidR="003E377B" w:rsidRPr="000971A4" w:rsidRDefault="003E377B" w:rsidP="00074D65">
            <w:pPr>
              <w:rPr>
                <w:rFonts w:ascii="Garamond" w:hAnsi="Garamond"/>
                <w:b/>
                <w:bCs/>
              </w:rPr>
            </w:pPr>
            <w:r w:rsidRPr="000971A4">
              <w:rPr>
                <w:rFonts w:ascii="Garamond" w:hAnsi="Garamond"/>
                <w:b/>
                <w:bCs/>
              </w:rPr>
              <w:t>Ulta</w:t>
            </w:r>
            <w:r w:rsidR="00204977">
              <w:rPr>
                <w:rFonts w:ascii="Garamond" w:hAnsi="Garamond"/>
                <w:b/>
                <w:bCs/>
              </w:rPr>
              <w:t xml:space="preserve"> Beauty</w:t>
            </w:r>
          </w:p>
        </w:tc>
        <w:tc>
          <w:tcPr>
            <w:tcW w:w="1968" w:type="dxa"/>
          </w:tcPr>
          <w:p w14:paraId="655335CE" w14:textId="5509EA9C" w:rsidR="003E377B" w:rsidRPr="009F6B25" w:rsidRDefault="001042A3" w:rsidP="003E377B">
            <w:pPr>
              <w:jc w:val="center"/>
              <w:rPr>
                <w:rFonts w:ascii="Garamond" w:hAnsi="Garamond"/>
                <w:b/>
                <w:bCs/>
              </w:rPr>
            </w:pPr>
            <w:r w:rsidRPr="009F6B25">
              <w:rPr>
                <w:rFonts w:ascii="Garamond" w:hAnsi="Garamond"/>
                <w:b/>
                <w:bCs/>
              </w:rPr>
              <w:t>16.32</w:t>
            </w:r>
            <w:r w:rsidR="00F20A21" w:rsidRPr="009F6B25">
              <w:rPr>
                <w:rFonts w:ascii="Garamond" w:hAnsi="Garamond"/>
                <w:b/>
                <w:bCs/>
              </w:rPr>
              <w:t>%</w:t>
            </w:r>
          </w:p>
        </w:tc>
        <w:tc>
          <w:tcPr>
            <w:tcW w:w="2035" w:type="dxa"/>
          </w:tcPr>
          <w:p w14:paraId="04F6E475" w14:textId="5E7BB6BF" w:rsidR="003E377B" w:rsidRPr="009F6B25" w:rsidRDefault="00F20A21" w:rsidP="003E377B">
            <w:pPr>
              <w:jc w:val="center"/>
              <w:rPr>
                <w:rFonts w:ascii="Garamond" w:hAnsi="Garamond"/>
                <w:b/>
                <w:bCs/>
              </w:rPr>
            </w:pPr>
            <w:r w:rsidRPr="009F6B25">
              <w:rPr>
                <w:rFonts w:ascii="Garamond" w:hAnsi="Garamond"/>
                <w:b/>
                <w:bCs/>
              </w:rPr>
              <w:t>18.50%</w:t>
            </w:r>
          </w:p>
        </w:tc>
        <w:tc>
          <w:tcPr>
            <w:tcW w:w="2237" w:type="dxa"/>
          </w:tcPr>
          <w:p w14:paraId="44441DA4" w14:textId="2E056AEB" w:rsidR="003E377B" w:rsidRPr="009F6B25" w:rsidRDefault="00F20A21" w:rsidP="0092119F">
            <w:pPr>
              <w:jc w:val="center"/>
              <w:rPr>
                <w:rFonts w:ascii="Garamond" w:hAnsi="Garamond"/>
                <w:b/>
                <w:bCs/>
              </w:rPr>
            </w:pPr>
            <w:r w:rsidRPr="009F6B25">
              <w:rPr>
                <w:rFonts w:ascii="Garamond" w:hAnsi="Garamond"/>
                <w:b/>
                <w:bCs/>
              </w:rPr>
              <w:t>55.61%</w:t>
            </w:r>
          </w:p>
        </w:tc>
        <w:tc>
          <w:tcPr>
            <w:tcW w:w="2035" w:type="dxa"/>
          </w:tcPr>
          <w:p w14:paraId="7C722CDA" w14:textId="0C279410" w:rsidR="003E377B" w:rsidRPr="009F6B25" w:rsidRDefault="00F20A21" w:rsidP="0092119F">
            <w:pPr>
              <w:jc w:val="center"/>
              <w:rPr>
                <w:rFonts w:ascii="Garamond" w:hAnsi="Garamond"/>
                <w:b/>
                <w:bCs/>
              </w:rPr>
            </w:pPr>
            <w:r w:rsidRPr="009F6B25">
              <w:rPr>
                <w:rFonts w:ascii="Garamond" w:hAnsi="Garamond"/>
                <w:b/>
                <w:bCs/>
              </w:rPr>
              <w:t>23.16%</w:t>
            </w:r>
          </w:p>
        </w:tc>
      </w:tr>
      <w:tr w:rsidR="003E377B" w14:paraId="367446B0" w14:textId="5B79222D" w:rsidTr="000971A4">
        <w:tc>
          <w:tcPr>
            <w:tcW w:w="2515" w:type="dxa"/>
            <w:shd w:val="clear" w:color="auto" w:fill="FFFFFF" w:themeFill="background1"/>
          </w:tcPr>
          <w:p w14:paraId="5B3DA54E" w14:textId="1DA6DF45" w:rsidR="003E377B" w:rsidRPr="000971A4" w:rsidRDefault="003E377B" w:rsidP="00074D65">
            <w:pPr>
              <w:rPr>
                <w:rFonts w:ascii="Garamond" w:hAnsi="Garamond"/>
                <w:b/>
                <w:bCs/>
              </w:rPr>
            </w:pPr>
            <w:r w:rsidRPr="000971A4">
              <w:rPr>
                <w:rFonts w:ascii="Garamond" w:hAnsi="Garamond"/>
                <w:b/>
                <w:bCs/>
              </w:rPr>
              <w:t>Dicks Sporting Goods</w:t>
            </w:r>
          </w:p>
        </w:tc>
        <w:tc>
          <w:tcPr>
            <w:tcW w:w="1968" w:type="dxa"/>
          </w:tcPr>
          <w:p w14:paraId="66FB910D" w14:textId="0F276597" w:rsidR="003E377B" w:rsidRDefault="00BB3391" w:rsidP="003E377B">
            <w:pPr>
              <w:jc w:val="center"/>
              <w:rPr>
                <w:rFonts w:ascii="Garamond" w:hAnsi="Garamond"/>
              </w:rPr>
            </w:pPr>
            <w:r>
              <w:rPr>
                <w:rFonts w:ascii="Garamond" w:hAnsi="Garamond"/>
              </w:rPr>
              <w:t>7.91%</w:t>
            </w:r>
          </w:p>
        </w:tc>
        <w:tc>
          <w:tcPr>
            <w:tcW w:w="2035" w:type="dxa"/>
          </w:tcPr>
          <w:p w14:paraId="3E38B6E5" w14:textId="6375A863" w:rsidR="003E377B" w:rsidRDefault="00BB3391" w:rsidP="003E377B">
            <w:pPr>
              <w:jc w:val="center"/>
              <w:rPr>
                <w:rFonts w:ascii="Garamond" w:hAnsi="Garamond"/>
              </w:rPr>
            </w:pPr>
            <w:r>
              <w:rPr>
                <w:rFonts w:ascii="Garamond" w:hAnsi="Garamond"/>
              </w:rPr>
              <w:t>5.97%</w:t>
            </w:r>
          </w:p>
        </w:tc>
        <w:tc>
          <w:tcPr>
            <w:tcW w:w="2237" w:type="dxa"/>
          </w:tcPr>
          <w:p w14:paraId="5BF89941" w14:textId="538B3D35" w:rsidR="003E377B" w:rsidRDefault="00BB3391" w:rsidP="0092119F">
            <w:pPr>
              <w:jc w:val="center"/>
              <w:rPr>
                <w:rFonts w:ascii="Garamond" w:hAnsi="Garamond"/>
              </w:rPr>
            </w:pPr>
            <w:r>
              <w:rPr>
                <w:rFonts w:ascii="Garamond" w:hAnsi="Garamond"/>
              </w:rPr>
              <w:t>22.32%</w:t>
            </w:r>
          </w:p>
        </w:tc>
        <w:tc>
          <w:tcPr>
            <w:tcW w:w="2035" w:type="dxa"/>
          </w:tcPr>
          <w:p w14:paraId="5121121B" w14:textId="4EC11B4B" w:rsidR="003E377B" w:rsidRDefault="00BB3391" w:rsidP="0092119F">
            <w:pPr>
              <w:jc w:val="center"/>
              <w:rPr>
                <w:rFonts w:ascii="Garamond" w:hAnsi="Garamond"/>
              </w:rPr>
            </w:pPr>
            <w:r>
              <w:rPr>
                <w:rFonts w:ascii="Garamond" w:hAnsi="Garamond"/>
              </w:rPr>
              <w:t>-1.54%</w:t>
            </w:r>
          </w:p>
        </w:tc>
      </w:tr>
      <w:tr w:rsidR="003E377B" w14:paraId="71BC50B0" w14:textId="0394ECFF" w:rsidTr="000971A4">
        <w:tc>
          <w:tcPr>
            <w:tcW w:w="2515" w:type="dxa"/>
            <w:shd w:val="clear" w:color="auto" w:fill="FFFFFF" w:themeFill="background1"/>
          </w:tcPr>
          <w:p w14:paraId="25C8A12F" w14:textId="1ADECF6D" w:rsidR="003E377B" w:rsidRPr="000971A4" w:rsidRDefault="003E377B" w:rsidP="00074D65">
            <w:pPr>
              <w:rPr>
                <w:rFonts w:ascii="Garamond" w:hAnsi="Garamond"/>
                <w:b/>
                <w:bCs/>
              </w:rPr>
            </w:pPr>
            <w:r w:rsidRPr="000971A4">
              <w:rPr>
                <w:rFonts w:ascii="Garamond" w:hAnsi="Garamond"/>
                <w:b/>
                <w:bCs/>
              </w:rPr>
              <w:t>Bath and Body Works</w:t>
            </w:r>
          </w:p>
        </w:tc>
        <w:tc>
          <w:tcPr>
            <w:tcW w:w="1968" w:type="dxa"/>
          </w:tcPr>
          <w:p w14:paraId="1CDC5A59" w14:textId="0541372B" w:rsidR="003E377B" w:rsidRDefault="00BB3391" w:rsidP="003E377B">
            <w:pPr>
              <w:jc w:val="center"/>
              <w:rPr>
                <w:rFonts w:ascii="Garamond" w:hAnsi="Garamond"/>
              </w:rPr>
            </w:pPr>
            <w:r>
              <w:rPr>
                <w:rFonts w:ascii="Garamond" w:hAnsi="Garamond"/>
              </w:rPr>
              <w:t>-0.23%</w:t>
            </w:r>
          </w:p>
        </w:tc>
        <w:tc>
          <w:tcPr>
            <w:tcW w:w="2035" w:type="dxa"/>
          </w:tcPr>
          <w:p w14:paraId="4A9A56FD" w14:textId="52882AF4" w:rsidR="003E377B" w:rsidRDefault="0092119F" w:rsidP="003E377B">
            <w:pPr>
              <w:jc w:val="center"/>
              <w:rPr>
                <w:rFonts w:ascii="Garamond" w:hAnsi="Garamond"/>
              </w:rPr>
            </w:pPr>
            <w:r>
              <w:rPr>
                <w:rFonts w:ascii="Garamond" w:hAnsi="Garamond"/>
              </w:rPr>
              <w:t>-3.99%</w:t>
            </w:r>
          </w:p>
        </w:tc>
        <w:tc>
          <w:tcPr>
            <w:tcW w:w="2237" w:type="dxa"/>
          </w:tcPr>
          <w:p w14:paraId="4C82CCBE" w14:textId="4F54B703" w:rsidR="003E377B" w:rsidRDefault="0092119F" w:rsidP="0092119F">
            <w:pPr>
              <w:jc w:val="center"/>
              <w:rPr>
                <w:rFonts w:ascii="Garamond" w:hAnsi="Garamond"/>
              </w:rPr>
            </w:pPr>
            <w:r>
              <w:rPr>
                <w:rFonts w:ascii="Garamond" w:hAnsi="Garamond"/>
              </w:rPr>
              <w:t>-48.13%</w:t>
            </w:r>
          </w:p>
        </w:tc>
        <w:tc>
          <w:tcPr>
            <w:tcW w:w="2035" w:type="dxa"/>
          </w:tcPr>
          <w:p w14:paraId="03549B07" w14:textId="53EA69F1" w:rsidR="003E377B" w:rsidRDefault="0092119F" w:rsidP="0092119F">
            <w:pPr>
              <w:jc w:val="center"/>
              <w:rPr>
                <w:rFonts w:ascii="Garamond" w:hAnsi="Garamond"/>
              </w:rPr>
            </w:pPr>
            <w:r>
              <w:rPr>
                <w:rFonts w:ascii="Garamond" w:hAnsi="Garamond"/>
              </w:rPr>
              <w:t>-20.01%</w:t>
            </w:r>
          </w:p>
        </w:tc>
      </w:tr>
      <w:tr w:rsidR="009C21B9" w14:paraId="6BC41C20" w14:textId="77777777" w:rsidTr="000971A4">
        <w:tc>
          <w:tcPr>
            <w:tcW w:w="2515" w:type="dxa"/>
            <w:shd w:val="clear" w:color="auto" w:fill="FFFFFF" w:themeFill="background1"/>
          </w:tcPr>
          <w:p w14:paraId="56ED53FE" w14:textId="276CF851" w:rsidR="009C21B9" w:rsidRPr="000971A4" w:rsidRDefault="009C21B9" w:rsidP="00074D65">
            <w:pPr>
              <w:rPr>
                <w:rFonts w:ascii="Garamond" w:hAnsi="Garamond"/>
                <w:b/>
                <w:bCs/>
              </w:rPr>
            </w:pPr>
            <w:r>
              <w:rPr>
                <w:rFonts w:ascii="Garamond" w:hAnsi="Garamond"/>
                <w:b/>
                <w:bCs/>
              </w:rPr>
              <w:t>LVMH (Sephora)</w:t>
            </w:r>
          </w:p>
        </w:tc>
        <w:tc>
          <w:tcPr>
            <w:tcW w:w="1968" w:type="dxa"/>
          </w:tcPr>
          <w:p w14:paraId="69BC1694" w14:textId="2E852327" w:rsidR="009C21B9" w:rsidRDefault="0007568E" w:rsidP="003E377B">
            <w:pPr>
              <w:jc w:val="center"/>
              <w:rPr>
                <w:rFonts w:ascii="Garamond" w:hAnsi="Garamond"/>
              </w:rPr>
            </w:pPr>
            <w:r>
              <w:rPr>
                <w:rFonts w:ascii="Garamond" w:hAnsi="Garamond"/>
              </w:rPr>
              <w:t>12.44%</w:t>
            </w:r>
          </w:p>
        </w:tc>
        <w:tc>
          <w:tcPr>
            <w:tcW w:w="2035" w:type="dxa"/>
          </w:tcPr>
          <w:p w14:paraId="6FBB2DC3" w14:textId="398A3CDE" w:rsidR="009C21B9" w:rsidRDefault="00E91A75" w:rsidP="003E377B">
            <w:pPr>
              <w:jc w:val="center"/>
              <w:rPr>
                <w:rFonts w:ascii="Garamond" w:hAnsi="Garamond"/>
              </w:rPr>
            </w:pPr>
            <w:r>
              <w:rPr>
                <w:rFonts w:ascii="Garamond" w:hAnsi="Garamond"/>
              </w:rPr>
              <w:t>-</w:t>
            </w:r>
          </w:p>
        </w:tc>
        <w:tc>
          <w:tcPr>
            <w:tcW w:w="2237" w:type="dxa"/>
          </w:tcPr>
          <w:p w14:paraId="7AD797A9" w14:textId="0AFDD9D8" w:rsidR="009C21B9" w:rsidRDefault="0007568E" w:rsidP="0092119F">
            <w:pPr>
              <w:jc w:val="center"/>
              <w:rPr>
                <w:rFonts w:ascii="Garamond" w:hAnsi="Garamond"/>
              </w:rPr>
            </w:pPr>
            <w:r>
              <w:rPr>
                <w:rFonts w:ascii="Garamond" w:hAnsi="Garamond"/>
              </w:rPr>
              <w:t>25.1%</w:t>
            </w:r>
          </w:p>
        </w:tc>
        <w:tc>
          <w:tcPr>
            <w:tcW w:w="2035" w:type="dxa"/>
          </w:tcPr>
          <w:p w14:paraId="3BE2181E" w14:textId="074DD570" w:rsidR="009C21B9" w:rsidRDefault="00E91A75" w:rsidP="0092119F">
            <w:pPr>
              <w:jc w:val="center"/>
              <w:rPr>
                <w:rFonts w:ascii="Garamond" w:hAnsi="Garamond"/>
              </w:rPr>
            </w:pPr>
            <w:r>
              <w:rPr>
                <w:rFonts w:ascii="Garamond" w:hAnsi="Garamond"/>
              </w:rPr>
              <w:t>-</w:t>
            </w:r>
          </w:p>
        </w:tc>
      </w:tr>
      <w:tr w:rsidR="009C21B9" w14:paraId="33E6E84E" w14:textId="77777777" w:rsidTr="000971A4">
        <w:tc>
          <w:tcPr>
            <w:tcW w:w="2515" w:type="dxa"/>
            <w:shd w:val="clear" w:color="auto" w:fill="FFFFFF" w:themeFill="background1"/>
          </w:tcPr>
          <w:p w14:paraId="6F5700EA" w14:textId="22AEA1C0" w:rsidR="009C21B9" w:rsidRPr="000971A4" w:rsidRDefault="009C21B9" w:rsidP="00074D65">
            <w:pPr>
              <w:rPr>
                <w:rFonts w:ascii="Garamond" w:hAnsi="Garamond"/>
                <w:b/>
                <w:bCs/>
              </w:rPr>
            </w:pPr>
            <w:r>
              <w:rPr>
                <w:rFonts w:ascii="Garamond" w:hAnsi="Garamond"/>
                <w:b/>
                <w:bCs/>
              </w:rPr>
              <w:t>Amazon</w:t>
            </w:r>
          </w:p>
        </w:tc>
        <w:tc>
          <w:tcPr>
            <w:tcW w:w="1968" w:type="dxa"/>
          </w:tcPr>
          <w:p w14:paraId="77CB121B" w14:textId="7FC77B89" w:rsidR="009C21B9" w:rsidRDefault="00487D03" w:rsidP="003E377B">
            <w:pPr>
              <w:jc w:val="center"/>
              <w:rPr>
                <w:rFonts w:ascii="Garamond" w:hAnsi="Garamond"/>
              </w:rPr>
            </w:pPr>
            <w:r>
              <w:rPr>
                <w:rFonts w:ascii="Garamond" w:hAnsi="Garamond"/>
              </w:rPr>
              <w:t>9.1%</w:t>
            </w:r>
          </w:p>
        </w:tc>
        <w:tc>
          <w:tcPr>
            <w:tcW w:w="2035" w:type="dxa"/>
          </w:tcPr>
          <w:p w14:paraId="448294D0" w14:textId="74B36DF2" w:rsidR="009C21B9" w:rsidRDefault="00475E74" w:rsidP="003E377B">
            <w:pPr>
              <w:jc w:val="center"/>
              <w:rPr>
                <w:rFonts w:ascii="Garamond" w:hAnsi="Garamond"/>
              </w:rPr>
            </w:pPr>
            <w:r>
              <w:rPr>
                <w:rFonts w:ascii="Garamond" w:hAnsi="Garamond"/>
              </w:rPr>
              <w:t>10.60%</w:t>
            </w:r>
          </w:p>
        </w:tc>
        <w:tc>
          <w:tcPr>
            <w:tcW w:w="2237" w:type="dxa"/>
          </w:tcPr>
          <w:p w14:paraId="6093C4E7" w14:textId="06D15493" w:rsidR="009C21B9" w:rsidRDefault="00684384" w:rsidP="0092119F">
            <w:pPr>
              <w:jc w:val="center"/>
              <w:rPr>
                <w:rFonts w:ascii="Garamond" w:hAnsi="Garamond"/>
              </w:rPr>
            </w:pPr>
            <w:r>
              <w:rPr>
                <w:rFonts w:ascii="Garamond" w:hAnsi="Garamond"/>
              </w:rPr>
              <w:t>12.06%</w:t>
            </w:r>
          </w:p>
        </w:tc>
        <w:tc>
          <w:tcPr>
            <w:tcW w:w="2035" w:type="dxa"/>
          </w:tcPr>
          <w:p w14:paraId="1FF5CDDA" w14:textId="4F9B1E82" w:rsidR="009C21B9" w:rsidRDefault="007E19DB" w:rsidP="0092119F">
            <w:pPr>
              <w:jc w:val="center"/>
              <w:rPr>
                <w:rFonts w:ascii="Garamond" w:hAnsi="Garamond"/>
              </w:rPr>
            </w:pPr>
            <w:r>
              <w:rPr>
                <w:rFonts w:ascii="Garamond" w:hAnsi="Garamond"/>
              </w:rPr>
              <w:t>10.15%</w:t>
            </w:r>
          </w:p>
        </w:tc>
      </w:tr>
      <w:tr w:rsidR="009C21B9" w14:paraId="40BBDF03" w14:textId="77777777" w:rsidTr="000971A4">
        <w:tc>
          <w:tcPr>
            <w:tcW w:w="2515" w:type="dxa"/>
            <w:shd w:val="clear" w:color="auto" w:fill="FFFFFF" w:themeFill="background1"/>
          </w:tcPr>
          <w:p w14:paraId="24F47A55" w14:textId="5C62512F" w:rsidR="009C21B9" w:rsidRPr="000971A4" w:rsidRDefault="009C21B9" w:rsidP="00074D65">
            <w:pPr>
              <w:rPr>
                <w:rFonts w:ascii="Garamond" w:hAnsi="Garamond"/>
                <w:b/>
                <w:bCs/>
              </w:rPr>
            </w:pPr>
            <w:r>
              <w:rPr>
                <w:rFonts w:ascii="Garamond" w:hAnsi="Garamond"/>
                <w:b/>
                <w:bCs/>
              </w:rPr>
              <w:t>Estee Lauder</w:t>
            </w:r>
          </w:p>
        </w:tc>
        <w:tc>
          <w:tcPr>
            <w:tcW w:w="1968" w:type="dxa"/>
          </w:tcPr>
          <w:p w14:paraId="5205E785" w14:textId="35148B66" w:rsidR="009C21B9" w:rsidRDefault="00E55A37" w:rsidP="003E377B">
            <w:pPr>
              <w:jc w:val="center"/>
              <w:rPr>
                <w:rFonts w:ascii="Garamond" w:hAnsi="Garamond"/>
              </w:rPr>
            </w:pPr>
            <w:r>
              <w:rPr>
                <w:rFonts w:ascii="Garamond" w:hAnsi="Garamond"/>
              </w:rPr>
              <w:t>4.85%</w:t>
            </w:r>
          </w:p>
        </w:tc>
        <w:tc>
          <w:tcPr>
            <w:tcW w:w="2035" w:type="dxa"/>
          </w:tcPr>
          <w:p w14:paraId="478FAE96" w14:textId="5DBE8553" w:rsidR="009C21B9" w:rsidRDefault="002925A7" w:rsidP="003E377B">
            <w:pPr>
              <w:jc w:val="center"/>
              <w:rPr>
                <w:rFonts w:ascii="Garamond" w:hAnsi="Garamond"/>
              </w:rPr>
            </w:pPr>
            <w:r>
              <w:rPr>
                <w:rFonts w:ascii="Garamond" w:hAnsi="Garamond"/>
              </w:rPr>
              <w:t>5.40%</w:t>
            </w:r>
          </w:p>
        </w:tc>
        <w:tc>
          <w:tcPr>
            <w:tcW w:w="2237" w:type="dxa"/>
          </w:tcPr>
          <w:p w14:paraId="6E297F17" w14:textId="3E2855FB" w:rsidR="009C21B9" w:rsidRDefault="00E81904" w:rsidP="0092119F">
            <w:pPr>
              <w:jc w:val="center"/>
              <w:rPr>
                <w:rFonts w:ascii="Garamond" w:hAnsi="Garamond"/>
              </w:rPr>
            </w:pPr>
            <w:r>
              <w:rPr>
                <w:rFonts w:ascii="Garamond" w:hAnsi="Garamond"/>
              </w:rPr>
              <w:t>25.6%</w:t>
            </w:r>
          </w:p>
        </w:tc>
        <w:tc>
          <w:tcPr>
            <w:tcW w:w="2035" w:type="dxa"/>
          </w:tcPr>
          <w:p w14:paraId="48FD83F3" w14:textId="3037B7D8" w:rsidR="009C21B9" w:rsidRDefault="00E55A37" w:rsidP="0092119F">
            <w:pPr>
              <w:jc w:val="center"/>
              <w:rPr>
                <w:rFonts w:ascii="Garamond" w:hAnsi="Garamond"/>
              </w:rPr>
            </w:pPr>
            <w:r>
              <w:rPr>
                <w:rFonts w:ascii="Garamond" w:hAnsi="Garamond"/>
              </w:rPr>
              <w:t>3.94%</w:t>
            </w:r>
          </w:p>
        </w:tc>
      </w:tr>
      <w:tr w:rsidR="009C21B9" w14:paraId="1D71D2A5" w14:textId="77777777" w:rsidTr="000971A4">
        <w:tc>
          <w:tcPr>
            <w:tcW w:w="2515" w:type="dxa"/>
            <w:shd w:val="clear" w:color="auto" w:fill="FFFFFF" w:themeFill="background1"/>
          </w:tcPr>
          <w:p w14:paraId="026758D9" w14:textId="462A76DF" w:rsidR="009C21B9" w:rsidRPr="000971A4" w:rsidRDefault="009C21B9" w:rsidP="00074D65">
            <w:pPr>
              <w:rPr>
                <w:rFonts w:ascii="Garamond" w:hAnsi="Garamond"/>
                <w:b/>
                <w:bCs/>
              </w:rPr>
            </w:pPr>
            <w:r>
              <w:rPr>
                <w:rFonts w:ascii="Garamond" w:hAnsi="Garamond"/>
                <w:b/>
                <w:bCs/>
              </w:rPr>
              <w:t>CVS</w:t>
            </w:r>
          </w:p>
        </w:tc>
        <w:tc>
          <w:tcPr>
            <w:tcW w:w="1968" w:type="dxa"/>
          </w:tcPr>
          <w:p w14:paraId="51C83FBE" w14:textId="6747F218" w:rsidR="009C21B9" w:rsidRDefault="009F09A0" w:rsidP="003E377B">
            <w:pPr>
              <w:jc w:val="center"/>
              <w:rPr>
                <w:rFonts w:ascii="Garamond" w:hAnsi="Garamond"/>
              </w:rPr>
            </w:pPr>
            <w:r>
              <w:rPr>
                <w:rFonts w:ascii="Garamond" w:hAnsi="Garamond"/>
              </w:rPr>
              <w:t>11.18%</w:t>
            </w:r>
          </w:p>
        </w:tc>
        <w:tc>
          <w:tcPr>
            <w:tcW w:w="2035" w:type="dxa"/>
          </w:tcPr>
          <w:p w14:paraId="0A423DBC" w14:textId="4A4695BE" w:rsidR="009C21B9" w:rsidRDefault="009B184A" w:rsidP="003E377B">
            <w:pPr>
              <w:jc w:val="center"/>
              <w:rPr>
                <w:rFonts w:ascii="Garamond" w:hAnsi="Garamond"/>
              </w:rPr>
            </w:pPr>
            <w:r>
              <w:rPr>
                <w:rFonts w:ascii="Garamond" w:hAnsi="Garamond"/>
              </w:rPr>
              <w:t>11.64%</w:t>
            </w:r>
          </w:p>
        </w:tc>
        <w:tc>
          <w:tcPr>
            <w:tcW w:w="2237" w:type="dxa"/>
          </w:tcPr>
          <w:p w14:paraId="2A471A62" w14:textId="78745625" w:rsidR="009C21B9" w:rsidRDefault="009F09A0" w:rsidP="0092119F">
            <w:pPr>
              <w:jc w:val="center"/>
              <w:rPr>
                <w:rFonts w:ascii="Garamond" w:hAnsi="Garamond"/>
              </w:rPr>
            </w:pPr>
            <w:r>
              <w:rPr>
                <w:rFonts w:ascii="Garamond" w:hAnsi="Garamond"/>
              </w:rPr>
              <w:t>-121.87%</w:t>
            </w:r>
          </w:p>
        </w:tc>
        <w:tc>
          <w:tcPr>
            <w:tcW w:w="2035" w:type="dxa"/>
          </w:tcPr>
          <w:p w14:paraId="04CBE737" w14:textId="5F9D8231" w:rsidR="009C21B9" w:rsidRDefault="005571DE" w:rsidP="0092119F">
            <w:pPr>
              <w:jc w:val="center"/>
              <w:rPr>
                <w:rFonts w:ascii="Garamond" w:hAnsi="Garamond"/>
              </w:rPr>
            </w:pPr>
            <w:r>
              <w:rPr>
                <w:rFonts w:ascii="Garamond" w:hAnsi="Garamond"/>
              </w:rPr>
              <w:t>-120.80%</w:t>
            </w:r>
          </w:p>
        </w:tc>
      </w:tr>
    </w:tbl>
    <w:p w14:paraId="33903803" w14:textId="260280F4" w:rsidR="00920EB4" w:rsidRDefault="007623AB" w:rsidP="007623AB">
      <w:pPr>
        <w:jc w:val="center"/>
        <w:rPr>
          <w:rFonts w:ascii="Garamond" w:hAnsi="Garamond"/>
          <w:sz w:val="18"/>
          <w:szCs w:val="18"/>
        </w:rPr>
      </w:pPr>
      <w:r w:rsidRPr="00C86E6A">
        <w:rPr>
          <w:rFonts w:ascii="Garamond" w:hAnsi="Garamond"/>
          <w:sz w:val="18"/>
          <w:szCs w:val="18"/>
        </w:rPr>
        <w:t xml:space="preserve">Figure </w:t>
      </w:r>
      <w:r w:rsidR="00C26783">
        <w:rPr>
          <w:rFonts w:ascii="Garamond" w:hAnsi="Garamond"/>
          <w:sz w:val="18"/>
          <w:szCs w:val="18"/>
        </w:rPr>
        <w:t>5</w:t>
      </w:r>
    </w:p>
    <w:p w14:paraId="3B0904D4" w14:textId="30D3B770" w:rsidR="00B706A2" w:rsidRPr="007623AB" w:rsidRDefault="00B706A2" w:rsidP="007623AB">
      <w:pPr>
        <w:jc w:val="center"/>
        <w:rPr>
          <w:rFonts w:ascii="Garamond" w:hAnsi="Garamond"/>
          <w:sz w:val="18"/>
          <w:szCs w:val="18"/>
        </w:rPr>
      </w:pPr>
      <w:r w:rsidRPr="002F66EB">
        <w:rPr>
          <w:rFonts w:ascii="Garamond" w:hAnsi="Garamond"/>
          <w:b/>
          <w:bCs/>
          <w:color w:val="000000" w:themeColor="text1"/>
          <w:sz w:val="18"/>
          <w:szCs w:val="18"/>
        </w:rPr>
        <w:t>NOTE</w:t>
      </w:r>
      <w:r w:rsidRPr="002F66EB">
        <w:rPr>
          <w:rFonts w:ascii="Garamond" w:hAnsi="Garamond"/>
          <w:color w:val="000000" w:themeColor="text1"/>
          <w:sz w:val="18"/>
          <w:szCs w:val="18"/>
        </w:rPr>
        <w:t xml:space="preserve">: 2021 and 2022 </w:t>
      </w:r>
      <w:r>
        <w:rPr>
          <w:rFonts w:ascii="Garamond" w:hAnsi="Garamond"/>
          <w:color w:val="000000" w:themeColor="text1"/>
          <w:sz w:val="18"/>
          <w:szCs w:val="18"/>
        </w:rPr>
        <w:t xml:space="preserve">YoY </w:t>
      </w:r>
      <w:r w:rsidRPr="002F66EB">
        <w:rPr>
          <w:rFonts w:ascii="Garamond" w:hAnsi="Garamond"/>
          <w:color w:val="000000" w:themeColor="text1"/>
          <w:sz w:val="18"/>
          <w:szCs w:val="18"/>
        </w:rPr>
        <w:t xml:space="preserve">changes diverged considerably from </w:t>
      </w:r>
      <w:r>
        <w:rPr>
          <w:rFonts w:ascii="Garamond" w:hAnsi="Garamond"/>
          <w:color w:val="000000" w:themeColor="text1"/>
          <w:sz w:val="18"/>
          <w:szCs w:val="18"/>
        </w:rPr>
        <w:t>the</w:t>
      </w:r>
      <w:r w:rsidRPr="002F66EB">
        <w:rPr>
          <w:rFonts w:ascii="Garamond" w:hAnsi="Garamond"/>
          <w:color w:val="000000" w:themeColor="text1"/>
          <w:sz w:val="18"/>
          <w:szCs w:val="18"/>
        </w:rPr>
        <w:t xml:space="preserve"> means</w:t>
      </w:r>
      <w:r>
        <w:rPr>
          <w:rFonts w:ascii="Garamond" w:hAnsi="Garamond"/>
          <w:color w:val="000000" w:themeColor="text1"/>
          <w:sz w:val="18"/>
          <w:szCs w:val="18"/>
        </w:rPr>
        <w:t>. Therefore,</w:t>
      </w:r>
      <w:r w:rsidR="00030435">
        <w:rPr>
          <w:rFonts w:ascii="Garamond" w:hAnsi="Garamond"/>
          <w:color w:val="000000" w:themeColor="text1"/>
          <w:sz w:val="18"/>
          <w:szCs w:val="18"/>
        </w:rPr>
        <w:t xml:space="preserve"> when possible,</w:t>
      </w:r>
      <w:r>
        <w:rPr>
          <w:rFonts w:ascii="Garamond" w:hAnsi="Garamond"/>
          <w:color w:val="000000" w:themeColor="text1"/>
          <w:sz w:val="18"/>
          <w:szCs w:val="18"/>
        </w:rPr>
        <w:t xml:space="preserve"> they have been factored out and replaced with 2012 and 2013 in the Factored 12-Year columns.</w:t>
      </w:r>
    </w:p>
    <w:p w14:paraId="2A5473AB" w14:textId="41FF11E2" w:rsidR="00864262" w:rsidRDefault="00864262" w:rsidP="00074D65">
      <w:pPr>
        <w:rPr>
          <w:rFonts w:ascii="Garamond" w:hAnsi="Garamond"/>
        </w:rPr>
      </w:pPr>
      <w:r>
        <w:rPr>
          <w:rFonts w:ascii="Garamond" w:hAnsi="Garamond"/>
        </w:rPr>
        <w:t>Over the past 10 reported fiscal years,</w:t>
      </w:r>
      <w:r w:rsidR="008D596C">
        <w:rPr>
          <w:rFonts w:ascii="Garamond" w:hAnsi="Garamond"/>
        </w:rPr>
        <w:t xml:space="preserve"> Ulta </w:t>
      </w:r>
      <w:r>
        <w:rPr>
          <w:rFonts w:ascii="Garamond" w:hAnsi="Garamond"/>
        </w:rPr>
        <w:t xml:space="preserve">can </w:t>
      </w:r>
      <w:r w:rsidR="00756955">
        <w:rPr>
          <w:rFonts w:ascii="Garamond" w:hAnsi="Garamond"/>
        </w:rPr>
        <w:t xml:space="preserve">be seen outpacing </w:t>
      </w:r>
      <w:r w:rsidR="003D2EA9">
        <w:rPr>
          <w:rFonts w:ascii="Garamond" w:hAnsi="Garamond"/>
        </w:rPr>
        <w:t xml:space="preserve">in-store competitors such as Bath and Body Works, CVS, and the similarly structured Dicks Sporting Goods. Along with this, they </w:t>
      </w:r>
      <w:r w:rsidR="00656BD8">
        <w:rPr>
          <w:rFonts w:ascii="Garamond" w:hAnsi="Garamond"/>
        </w:rPr>
        <w:t xml:space="preserve">have even outgrown digital competitors </w:t>
      </w:r>
      <w:r w:rsidR="004A2836">
        <w:rPr>
          <w:rFonts w:ascii="Garamond" w:hAnsi="Garamond"/>
        </w:rPr>
        <w:t>such</w:t>
      </w:r>
      <w:r w:rsidR="006E7657">
        <w:rPr>
          <w:rFonts w:ascii="Garamond" w:hAnsi="Garamond"/>
        </w:rPr>
        <w:t xml:space="preserve"> as</w:t>
      </w:r>
      <w:r w:rsidR="008809D4">
        <w:rPr>
          <w:rFonts w:ascii="Garamond" w:hAnsi="Garamond"/>
        </w:rPr>
        <w:t xml:space="preserve"> Amazon. </w:t>
      </w:r>
      <w:r w:rsidR="00FA076D">
        <w:rPr>
          <w:rFonts w:ascii="Garamond" w:hAnsi="Garamond"/>
        </w:rPr>
        <w:t>Most importantly,</w:t>
      </w:r>
      <w:r w:rsidR="008D596C">
        <w:rPr>
          <w:rFonts w:ascii="Garamond" w:hAnsi="Garamond"/>
        </w:rPr>
        <w:t xml:space="preserve"> Ulta </w:t>
      </w:r>
      <w:r w:rsidR="00FA076D">
        <w:rPr>
          <w:rFonts w:ascii="Garamond" w:hAnsi="Garamond"/>
        </w:rPr>
        <w:t>outgrows their main competitor</w:t>
      </w:r>
      <w:r w:rsidR="00BF6787">
        <w:rPr>
          <w:rFonts w:ascii="Garamond" w:hAnsi="Garamond"/>
        </w:rPr>
        <w:t>, LVMH</w:t>
      </w:r>
      <w:r w:rsidR="00300350">
        <w:rPr>
          <w:rFonts w:ascii="Garamond" w:hAnsi="Garamond"/>
        </w:rPr>
        <w:t>-</w:t>
      </w:r>
      <w:r w:rsidR="00BF6787">
        <w:rPr>
          <w:rFonts w:ascii="Garamond" w:hAnsi="Garamond"/>
        </w:rPr>
        <w:t>owned</w:t>
      </w:r>
      <w:r w:rsidR="00FA076D">
        <w:rPr>
          <w:rFonts w:ascii="Garamond" w:hAnsi="Garamond"/>
        </w:rPr>
        <w:t xml:space="preserve"> </w:t>
      </w:r>
      <w:r w:rsidR="00BF6787">
        <w:rPr>
          <w:rFonts w:ascii="Garamond" w:hAnsi="Garamond"/>
        </w:rPr>
        <w:t>Sephora.</w:t>
      </w:r>
      <w:r w:rsidR="00DD1FDF">
        <w:rPr>
          <w:rFonts w:ascii="Garamond" w:hAnsi="Garamond"/>
        </w:rPr>
        <w:t xml:space="preserve"> </w:t>
      </w:r>
      <w:r w:rsidR="000F69E0">
        <w:rPr>
          <w:rFonts w:ascii="Garamond" w:hAnsi="Garamond"/>
        </w:rPr>
        <w:t>As main competitors,</w:t>
      </w:r>
      <w:r w:rsidR="008D596C">
        <w:rPr>
          <w:rFonts w:ascii="Garamond" w:hAnsi="Garamond"/>
        </w:rPr>
        <w:t xml:space="preserve"> Ulta </w:t>
      </w:r>
      <w:r w:rsidR="000F69E0">
        <w:rPr>
          <w:rFonts w:ascii="Garamond" w:hAnsi="Garamond"/>
        </w:rPr>
        <w:t xml:space="preserve">and Sephora often </w:t>
      </w:r>
      <w:r w:rsidR="00D848DE">
        <w:rPr>
          <w:rFonts w:ascii="Garamond" w:hAnsi="Garamond"/>
        </w:rPr>
        <w:t>open</w:t>
      </w:r>
      <w:r w:rsidR="000F69E0">
        <w:rPr>
          <w:rFonts w:ascii="Garamond" w:hAnsi="Garamond"/>
        </w:rPr>
        <w:t xml:space="preserve"> new stores </w:t>
      </w:r>
      <w:r w:rsidR="00080042">
        <w:rPr>
          <w:rFonts w:ascii="Garamond" w:hAnsi="Garamond"/>
        </w:rPr>
        <w:t>within miles of each other</w:t>
      </w:r>
      <w:r w:rsidR="009D2836">
        <w:rPr>
          <w:rFonts w:ascii="Garamond" w:hAnsi="Garamond"/>
        </w:rPr>
        <w:t>,</w:t>
      </w:r>
      <w:r w:rsidR="00981372">
        <w:rPr>
          <w:rFonts w:ascii="Garamond" w:hAnsi="Garamond"/>
        </w:rPr>
        <w:t xml:space="preserve"> and from a quantitative perspective</w:t>
      </w:r>
      <w:r w:rsidR="00BA0B4D">
        <w:rPr>
          <w:rFonts w:ascii="Garamond" w:hAnsi="Garamond"/>
        </w:rPr>
        <w:t xml:space="preserve">, even when met with the same economic </w:t>
      </w:r>
      <w:r w:rsidR="009D2836">
        <w:rPr>
          <w:rFonts w:ascii="Garamond" w:hAnsi="Garamond"/>
        </w:rPr>
        <w:t>environment,</w:t>
      </w:r>
      <w:r w:rsidR="008D596C">
        <w:rPr>
          <w:rFonts w:ascii="Garamond" w:hAnsi="Garamond"/>
        </w:rPr>
        <w:t xml:space="preserve"> Ulta </w:t>
      </w:r>
      <w:r w:rsidR="009D2836">
        <w:rPr>
          <w:rFonts w:ascii="Garamond" w:hAnsi="Garamond"/>
        </w:rPr>
        <w:t>delivers the best growth</w:t>
      </w:r>
      <w:r w:rsidR="00A20EF6">
        <w:rPr>
          <w:rFonts w:ascii="Garamond" w:hAnsi="Garamond"/>
        </w:rPr>
        <w:t>, providing a strong argument for investment within Ulta.</w:t>
      </w:r>
    </w:p>
    <w:p w14:paraId="4B3BCD44" w14:textId="3758628E" w:rsidR="00160118" w:rsidRDefault="0015653E" w:rsidP="00074D65">
      <w:pPr>
        <w:rPr>
          <w:rFonts w:ascii="Garamond" w:hAnsi="Garamond"/>
        </w:rPr>
      </w:pPr>
      <w:r>
        <w:rPr>
          <w:rFonts w:ascii="Garamond" w:hAnsi="Garamond"/>
        </w:rPr>
        <w:t>A</w:t>
      </w:r>
      <w:r w:rsidR="001B5229" w:rsidRPr="00D14C31">
        <w:rPr>
          <w:rFonts w:ascii="Garamond" w:hAnsi="Garamond"/>
        </w:rPr>
        <w:t xml:space="preserve">verage growth in free cash </w:t>
      </w:r>
      <w:r w:rsidR="00281BC0" w:rsidRPr="00D14C31">
        <w:rPr>
          <w:rFonts w:ascii="Garamond" w:hAnsi="Garamond"/>
        </w:rPr>
        <w:t xml:space="preserve">flow </w:t>
      </w:r>
      <w:r w:rsidR="00281BC0">
        <w:rPr>
          <w:rFonts w:ascii="Garamond" w:hAnsi="Garamond"/>
        </w:rPr>
        <w:t>was</w:t>
      </w:r>
      <w:r>
        <w:rPr>
          <w:rFonts w:ascii="Garamond" w:hAnsi="Garamond"/>
        </w:rPr>
        <w:t xml:space="preserve"> also</w:t>
      </w:r>
      <w:r w:rsidR="00281BC0">
        <w:rPr>
          <w:rFonts w:ascii="Garamond" w:hAnsi="Garamond"/>
        </w:rPr>
        <w:t xml:space="preserve"> </w:t>
      </w:r>
      <w:r w:rsidR="00281BC0" w:rsidRPr="00D14C31">
        <w:rPr>
          <w:rFonts w:ascii="Garamond" w:hAnsi="Garamond"/>
        </w:rPr>
        <w:t>41.87%</w:t>
      </w:r>
      <w:r w:rsidR="00281BC0">
        <w:rPr>
          <w:rFonts w:ascii="Garamond" w:hAnsi="Garamond"/>
        </w:rPr>
        <w:t xml:space="preserve"> over the previous 10 years</w:t>
      </w:r>
      <w:r w:rsidR="00E44880">
        <w:rPr>
          <w:rFonts w:ascii="Garamond" w:hAnsi="Garamond"/>
        </w:rPr>
        <w:t xml:space="preserve">, and </w:t>
      </w:r>
      <w:r w:rsidR="003800A9">
        <w:rPr>
          <w:rFonts w:ascii="Garamond" w:hAnsi="Garamond"/>
        </w:rPr>
        <w:t>45.83%</w:t>
      </w:r>
      <w:r w:rsidR="00E44880">
        <w:rPr>
          <w:rFonts w:ascii="Garamond" w:hAnsi="Garamond"/>
        </w:rPr>
        <w:t xml:space="preserve"> over the factored 12</w:t>
      </w:r>
      <w:r w:rsidR="00F97832">
        <w:rPr>
          <w:rFonts w:ascii="Garamond" w:hAnsi="Garamond"/>
        </w:rPr>
        <w:t xml:space="preserve"> years. </w:t>
      </w:r>
      <w:r w:rsidR="00281BC0">
        <w:rPr>
          <w:rFonts w:ascii="Garamond" w:hAnsi="Garamond"/>
        </w:rPr>
        <w:t xml:space="preserve">This growth was previously mentioned to </w:t>
      </w:r>
      <w:r w:rsidR="001B5229" w:rsidRPr="00D14C31">
        <w:rPr>
          <w:rFonts w:ascii="Garamond" w:hAnsi="Garamond"/>
        </w:rPr>
        <w:t>allow</w:t>
      </w:r>
      <w:r w:rsidR="00281BC0">
        <w:rPr>
          <w:rFonts w:ascii="Garamond" w:hAnsi="Garamond"/>
        </w:rPr>
        <w:t xml:space="preserve"> for past</w:t>
      </w:r>
      <w:r w:rsidR="001B5229" w:rsidRPr="00D14C31">
        <w:rPr>
          <w:rFonts w:ascii="Garamond" w:hAnsi="Garamond"/>
        </w:rPr>
        <w:t xml:space="preserve"> reinvestment in </w:t>
      </w:r>
      <w:r w:rsidR="00300350">
        <w:rPr>
          <w:rFonts w:ascii="Garamond" w:hAnsi="Garamond"/>
        </w:rPr>
        <w:t xml:space="preserve">the </w:t>
      </w:r>
      <w:r w:rsidR="001B5229" w:rsidRPr="00D14C31">
        <w:rPr>
          <w:rFonts w:ascii="Garamond" w:hAnsi="Garamond"/>
        </w:rPr>
        <w:t xml:space="preserve">supply chain and </w:t>
      </w:r>
      <w:r w:rsidR="00281BC0">
        <w:rPr>
          <w:rFonts w:ascii="Garamond" w:hAnsi="Garamond"/>
        </w:rPr>
        <w:t xml:space="preserve">the </w:t>
      </w:r>
      <w:r w:rsidR="001B5229" w:rsidRPr="00D14C31">
        <w:rPr>
          <w:rFonts w:ascii="Garamond" w:hAnsi="Garamond"/>
        </w:rPr>
        <w:t>opening of new stores</w:t>
      </w:r>
      <w:r w:rsidR="00281BC0">
        <w:rPr>
          <w:rFonts w:ascii="Garamond" w:hAnsi="Garamond"/>
        </w:rPr>
        <w:t xml:space="preserve">. </w:t>
      </w:r>
      <w:r w:rsidR="00300350">
        <w:rPr>
          <w:rFonts w:ascii="Garamond" w:hAnsi="Garamond"/>
        </w:rPr>
        <w:t>However</w:t>
      </w:r>
      <w:r w:rsidR="00281BC0">
        <w:rPr>
          <w:rFonts w:ascii="Garamond" w:hAnsi="Garamond"/>
        </w:rPr>
        <w:t>, it can be used as a</w:t>
      </w:r>
      <w:r w:rsidR="003800A9">
        <w:rPr>
          <w:rFonts w:ascii="Garamond" w:hAnsi="Garamond"/>
        </w:rPr>
        <w:t>n</w:t>
      </w:r>
      <w:r w:rsidR="00281BC0">
        <w:rPr>
          <w:rFonts w:ascii="Garamond" w:hAnsi="Garamond"/>
        </w:rPr>
        <w:t xml:space="preserve"> indicator </w:t>
      </w:r>
      <w:r w:rsidR="00300350">
        <w:rPr>
          <w:rFonts w:ascii="Garamond" w:hAnsi="Garamond"/>
        </w:rPr>
        <w:t>of</w:t>
      </w:r>
      <w:r w:rsidR="00281BC0">
        <w:rPr>
          <w:rFonts w:ascii="Garamond" w:hAnsi="Garamond"/>
        </w:rPr>
        <w:t xml:space="preserve"> Ulta’s future ability to sustain such investments</w:t>
      </w:r>
      <w:r w:rsidR="009B079B">
        <w:rPr>
          <w:rFonts w:ascii="Garamond" w:hAnsi="Garamond"/>
        </w:rPr>
        <w:t xml:space="preserve"> as well</w:t>
      </w:r>
      <w:r w:rsidR="00281BC0">
        <w:rPr>
          <w:rFonts w:ascii="Garamond" w:hAnsi="Garamond"/>
        </w:rPr>
        <w:t>.</w:t>
      </w:r>
      <w:r w:rsidR="00A5518F">
        <w:rPr>
          <w:rFonts w:ascii="Garamond" w:hAnsi="Garamond"/>
        </w:rPr>
        <w:t xml:space="preserve"> Figure 5 below</w:t>
      </w:r>
      <w:r w:rsidR="000C53EB">
        <w:rPr>
          <w:rFonts w:ascii="Garamond" w:hAnsi="Garamond"/>
        </w:rPr>
        <w:t xml:space="preserve"> depicts how</w:t>
      </w:r>
      <w:r w:rsidR="008D596C">
        <w:rPr>
          <w:rFonts w:ascii="Garamond" w:hAnsi="Garamond"/>
        </w:rPr>
        <w:t xml:space="preserve"> Ulta </w:t>
      </w:r>
      <w:r w:rsidR="00A45406">
        <w:rPr>
          <w:rFonts w:ascii="Garamond" w:hAnsi="Garamond"/>
        </w:rPr>
        <w:t>has been able to sustain its margins</w:t>
      </w:r>
      <w:r w:rsidR="000C53EB">
        <w:rPr>
          <w:rFonts w:ascii="Garamond" w:hAnsi="Garamond"/>
        </w:rPr>
        <w:t xml:space="preserve"> over these periods of </w:t>
      </w:r>
      <w:r w:rsidR="00DB24B2">
        <w:rPr>
          <w:rFonts w:ascii="Garamond" w:hAnsi="Garamond"/>
        </w:rPr>
        <w:t>leading growth.</w:t>
      </w:r>
      <w:r w:rsidR="00A45406">
        <w:rPr>
          <w:rFonts w:ascii="Garamond" w:hAnsi="Garamond"/>
        </w:rPr>
        <w:t xml:space="preserve"> </w:t>
      </w:r>
      <w:r w:rsidR="00DB24B2">
        <w:rPr>
          <w:rFonts w:ascii="Garamond" w:hAnsi="Garamond"/>
        </w:rPr>
        <w:t>This</w:t>
      </w:r>
      <w:r w:rsidR="00AE4026">
        <w:rPr>
          <w:rFonts w:ascii="Garamond" w:hAnsi="Garamond"/>
        </w:rPr>
        <w:t xml:space="preserve"> explains how </w:t>
      </w:r>
      <w:r w:rsidR="00DD685B">
        <w:rPr>
          <w:rFonts w:ascii="Garamond" w:hAnsi="Garamond"/>
        </w:rPr>
        <w:t>increased revenue has</w:t>
      </w:r>
      <w:r w:rsidR="00DB24B2">
        <w:rPr>
          <w:rFonts w:ascii="Garamond" w:hAnsi="Garamond"/>
        </w:rPr>
        <w:t>, and will continue to,</w:t>
      </w:r>
      <w:r w:rsidR="00DD685B">
        <w:rPr>
          <w:rFonts w:ascii="Garamond" w:hAnsi="Garamond"/>
        </w:rPr>
        <w:t xml:space="preserve"> consistently transfer into increased earning</w:t>
      </w:r>
      <w:r w:rsidR="00A20EF6">
        <w:rPr>
          <w:rFonts w:ascii="Garamond" w:hAnsi="Garamond"/>
        </w:rPr>
        <w:t>s.</w:t>
      </w:r>
    </w:p>
    <w:p w14:paraId="4A686F9F" w14:textId="1E898A2A" w:rsidR="001B5229" w:rsidRDefault="0015653E" w:rsidP="003D06F6">
      <w:pPr>
        <w:jc w:val="center"/>
        <w:rPr>
          <w:rFonts w:ascii="Garamond" w:hAnsi="Garamond"/>
        </w:rPr>
      </w:pPr>
      <w:r>
        <w:rPr>
          <w:noProof/>
        </w:rPr>
        <w:drawing>
          <wp:inline distT="0" distB="0" distL="0" distR="0" wp14:anchorId="32A5BA51" wp14:editId="6C4527AF">
            <wp:extent cx="5962650" cy="2785730"/>
            <wp:effectExtent l="0" t="0" r="0" b="0"/>
            <wp:docPr id="2088028826" name="Chart 1">
              <a:extLst xmlns:a="http://schemas.openxmlformats.org/drawingml/2006/main">
                <a:ext uri="{FF2B5EF4-FFF2-40B4-BE49-F238E27FC236}">
                  <a16:creationId xmlns:a16="http://schemas.microsoft.com/office/drawing/2014/main" id="{F20EDFC2-E0B1-B8EE-4F58-C15E6B5D0E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B2615F" w14:textId="6520495B" w:rsidR="00C26783" w:rsidRPr="00311D5D" w:rsidRDefault="00FF59D4" w:rsidP="00311D5D">
      <w:pPr>
        <w:jc w:val="center"/>
        <w:rPr>
          <w:rFonts w:ascii="Garamond" w:hAnsi="Garamond"/>
          <w:sz w:val="18"/>
          <w:szCs w:val="18"/>
        </w:rPr>
      </w:pPr>
      <w:r w:rsidRPr="00C86E6A">
        <w:rPr>
          <w:rFonts w:ascii="Garamond" w:hAnsi="Garamond"/>
          <w:sz w:val="18"/>
          <w:szCs w:val="18"/>
        </w:rPr>
        <w:t xml:space="preserve">Figure </w:t>
      </w:r>
      <w:r w:rsidR="00C26783">
        <w:rPr>
          <w:rFonts w:ascii="Garamond" w:hAnsi="Garamond"/>
          <w:sz w:val="18"/>
          <w:szCs w:val="18"/>
        </w:rPr>
        <w:t>6</w:t>
      </w:r>
    </w:p>
    <w:p w14:paraId="27CD2715" w14:textId="68AC1827" w:rsidR="006F1F27" w:rsidRDefault="008E25ED" w:rsidP="007D5924">
      <w:pPr>
        <w:rPr>
          <w:rFonts w:ascii="Garamond" w:hAnsi="Garamond"/>
          <w:b/>
          <w:bCs/>
        </w:rPr>
      </w:pPr>
      <w:r>
        <w:rPr>
          <w:rFonts w:ascii="Garamond" w:hAnsi="Garamond"/>
          <w:b/>
          <w:bCs/>
        </w:rPr>
        <w:lastRenderedPageBreak/>
        <w:t>Valuation</w:t>
      </w:r>
    </w:p>
    <w:p w14:paraId="3C839337" w14:textId="588A28E4" w:rsidR="00C876F5" w:rsidRDefault="00C34790" w:rsidP="004964E5">
      <w:pPr>
        <w:rPr>
          <w:rFonts w:ascii="Garamond" w:hAnsi="Garamond"/>
        </w:rPr>
      </w:pPr>
      <w:r>
        <w:rPr>
          <w:rFonts w:ascii="Garamond" w:hAnsi="Garamond"/>
        </w:rPr>
        <w:t xml:space="preserve">Previously, </w:t>
      </w:r>
      <w:r w:rsidR="00F70D99">
        <w:rPr>
          <w:rFonts w:ascii="Garamond" w:hAnsi="Garamond"/>
        </w:rPr>
        <w:t xml:space="preserve">we </w:t>
      </w:r>
      <w:r w:rsidR="00420B2B">
        <w:rPr>
          <w:rFonts w:ascii="Garamond" w:hAnsi="Garamond"/>
        </w:rPr>
        <w:t>discussed</w:t>
      </w:r>
      <w:r w:rsidR="00F70D99">
        <w:rPr>
          <w:rFonts w:ascii="Garamond" w:hAnsi="Garamond"/>
        </w:rPr>
        <w:t xml:space="preserve"> Ulta’s </w:t>
      </w:r>
      <w:r w:rsidR="00715A76">
        <w:rPr>
          <w:rFonts w:ascii="Garamond" w:hAnsi="Garamond"/>
        </w:rPr>
        <w:t>advantageous strategic moves</w:t>
      </w:r>
      <w:r w:rsidR="0089164C">
        <w:rPr>
          <w:rFonts w:ascii="Garamond" w:hAnsi="Garamond"/>
        </w:rPr>
        <w:t xml:space="preserve">, </w:t>
      </w:r>
      <w:r w:rsidR="00F167E1">
        <w:rPr>
          <w:rFonts w:ascii="Garamond" w:hAnsi="Garamond"/>
        </w:rPr>
        <w:t>strong</w:t>
      </w:r>
      <w:r w:rsidR="00715A76">
        <w:rPr>
          <w:rFonts w:ascii="Garamond" w:hAnsi="Garamond"/>
        </w:rPr>
        <w:t xml:space="preserve"> growth </w:t>
      </w:r>
      <w:r w:rsidR="0089164C">
        <w:rPr>
          <w:rFonts w:ascii="Garamond" w:hAnsi="Garamond"/>
        </w:rPr>
        <w:t xml:space="preserve">in revenues and earnings, and </w:t>
      </w:r>
      <w:r w:rsidR="00F167E1">
        <w:rPr>
          <w:rFonts w:ascii="Garamond" w:hAnsi="Garamond"/>
        </w:rPr>
        <w:t xml:space="preserve">consistent margins. Using the following Discounted Cash Flows model allows us to take </w:t>
      </w:r>
      <w:r w:rsidR="00B47851">
        <w:rPr>
          <w:rFonts w:ascii="Garamond" w:hAnsi="Garamond"/>
        </w:rPr>
        <w:t>each one of these subjects</w:t>
      </w:r>
      <w:r w:rsidR="004274A9">
        <w:rPr>
          <w:rFonts w:ascii="Garamond" w:hAnsi="Garamond"/>
        </w:rPr>
        <w:t xml:space="preserve"> into </w:t>
      </w:r>
      <w:r w:rsidR="002D542A">
        <w:rPr>
          <w:rFonts w:ascii="Garamond" w:hAnsi="Garamond"/>
        </w:rPr>
        <w:t>account and</w:t>
      </w:r>
      <w:r w:rsidR="004274A9">
        <w:rPr>
          <w:rFonts w:ascii="Garamond" w:hAnsi="Garamond"/>
        </w:rPr>
        <w:t xml:space="preserve"> use conservative estimates to quantify the </w:t>
      </w:r>
      <w:r w:rsidR="00B946F4">
        <w:rPr>
          <w:rFonts w:ascii="Garamond" w:hAnsi="Garamond"/>
        </w:rPr>
        <w:t>intrinsic value of</w:t>
      </w:r>
      <w:r w:rsidR="008D596C">
        <w:rPr>
          <w:rFonts w:ascii="Garamond" w:hAnsi="Garamond"/>
        </w:rPr>
        <w:t xml:space="preserve"> Ulta </w:t>
      </w:r>
      <w:r w:rsidR="00B946F4">
        <w:rPr>
          <w:rFonts w:ascii="Garamond" w:hAnsi="Garamond"/>
        </w:rPr>
        <w:t>on a per</w:t>
      </w:r>
      <w:r w:rsidR="00300350">
        <w:rPr>
          <w:rFonts w:ascii="Garamond" w:hAnsi="Garamond"/>
        </w:rPr>
        <w:t>-</w:t>
      </w:r>
      <w:r w:rsidR="00B946F4">
        <w:rPr>
          <w:rFonts w:ascii="Garamond" w:hAnsi="Garamond"/>
        </w:rPr>
        <w:t>share basis. Within this DCF, the following assumptions were made:</w:t>
      </w:r>
    </w:p>
    <w:p w14:paraId="5CB42EE0" w14:textId="77AEB330" w:rsidR="009E1B43" w:rsidRDefault="00B946F4" w:rsidP="005A7A60">
      <w:pPr>
        <w:pStyle w:val="ListParagraph"/>
        <w:numPr>
          <w:ilvl w:val="0"/>
          <w:numId w:val="12"/>
        </w:numPr>
        <w:rPr>
          <w:rFonts w:ascii="Garamond" w:hAnsi="Garamond"/>
        </w:rPr>
      </w:pPr>
      <w:r w:rsidRPr="008713B5">
        <w:rPr>
          <w:rFonts w:ascii="Garamond" w:hAnsi="Garamond"/>
        </w:rPr>
        <w:t xml:space="preserve">Ulta </w:t>
      </w:r>
      <w:r w:rsidR="002E07A7" w:rsidRPr="008713B5">
        <w:rPr>
          <w:rFonts w:ascii="Garamond" w:hAnsi="Garamond"/>
        </w:rPr>
        <w:t>revenue will continue to be driven by new store openings</w:t>
      </w:r>
      <w:r w:rsidR="00085D20" w:rsidRPr="008713B5">
        <w:rPr>
          <w:rFonts w:ascii="Garamond" w:hAnsi="Garamond"/>
        </w:rPr>
        <w:t xml:space="preserve"> with comp growth leveling off at </w:t>
      </w:r>
      <w:r w:rsidR="008D07D1">
        <w:rPr>
          <w:rFonts w:ascii="Garamond" w:hAnsi="Garamond"/>
        </w:rPr>
        <w:t>3</w:t>
      </w:r>
      <w:r w:rsidR="00085D20" w:rsidRPr="008713B5">
        <w:rPr>
          <w:rFonts w:ascii="Garamond" w:hAnsi="Garamond"/>
        </w:rPr>
        <w:t xml:space="preserve">% per </w:t>
      </w:r>
      <w:r w:rsidR="00EE3C88" w:rsidRPr="008713B5">
        <w:rPr>
          <w:rFonts w:ascii="Garamond" w:hAnsi="Garamond"/>
        </w:rPr>
        <w:t>year.</w:t>
      </w:r>
    </w:p>
    <w:p w14:paraId="161F51FE" w14:textId="3BEB2347" w:rsidR="005A7A60" w:rsidRPr="005A7A60" w:rsidRDefault="005A7A60" w:rsidP="005A7A60">
      <w:pPr>
        <w:pStyle w:val="ListParagraph"/>
        <w:numPr>
          <w:ilvl w:val="1"/>
          <w:numId w:val="12"/>
        </w:numPr>
        <w:rPr>
          <w:rFonts w:ascii="Garamond" w:hAnsi="Garamond"/>
        </w:rPr>
      </w:pPr>
      <w:r>
        <w:rPr>
          <w:rFonts w:ascii="Garamond" w:hAnsi="Garamond"/>
        </w:rPr>
        <w:t>Ulta will open its average of 48 stores per year</w:t>
      </w:r>
      <w:r w:rsidR="00105FC8">
        <w:rPr>
          <w:rFonts w:ascii="Garamond" w:hAnsi="Garamond"/>
        </w:rPr>
        <w:t>.</w:t>
      </w:r>
    </w:p>
    <w:p w14:paraId="6F2F253A" w14:textId="5952E263" w:rsidR="002E7844" w:rsidRPr="002E7844" w:rsidRDefault="002E7844" w:rsidP="002E7844">
      <w:pPr>
        <w:pStyle w:val="ListParagraph"/>
        <w:numPr>
          <w:ilvl w:val="0"/>
          <w:numId w:val="12"/>
        </w:numPr>
        <w:rPr>
          <w:rFonts w:ascii="Garamond" w:hAnsi="Garamond"/>
        </w:rPr>
      </w:pPr>
      <w:r w:rsidRPr="002E7844">
        <w:rPr>
          <w:rFonts w:ascii="Garamond" w:hAnsi="Garamond"/>
        </w:rPr>
        <w:t xml:space="preserve">New stores generate $5.53 million during their first year, increasing to the comped average in </w:t>
      </w:r>
      <w:r w:rsidR="00300350">
        <w:rPr>
          <w:rFonts w:ascii="Garamond" w:hAnsi="Garamond"/>
        </w:rPr>
        <w:t xml:space="preserve">the </w:t>
      </w:r>
      <w:r w:rsidRPr="002E7844">
        <w:rPr>
          <w:rFonts w:ascii="Garamond" w:hAnsi="Garamond"/>
        </w:rPr>
        <w:t>following years</w:t>
      </w:r>
      <w:r>
        <w:rPr>
          <w:rFonts w:ascii="Garamond" w:hAnsi="Garamond"/>
        </w:rPr>
        <w:t>.</w:t>
      </w:r>
    </w:p>
    <w:p w14:paraId="5BA9A2BE" w14:textId="6802CA9F" w:rsidR="00632015" w:rsidRDefault="00632015" w:rsidP="002D542A">
      <w:pPr>
        <w:pStyle w:val="ListParagraph"/>
        <w:numPr>
          <w:ilvl w:val="0"/>
          <w:numId w:val="12"/>
        </w:numPr>
        <w:rPr>
          <w:rFonts w:ascii="Garamond" w:hAnsi="Garamond"/>
        </w:rPr>
      </w:pPr>
      <w:r>
        <w:rPr>
          <w:rFonts w:ascii="Garamond" w:hAnsi="Garamond"/>
        </w:rPr>
        <w:t xml:space="preserve">Following 2025 Ulta’s Free Cash Flow </w:t>
      </w:r>
      <w:proofErr w:type="spellStart"/>
      <w:r>
        <w:rPr>
          <w:rFonts w:ascii="Garamond" w:hAnsi="Garamond"/>
        </w:rPr>
        <w:t>wi</w:t>
      </w:r>
      <w:r w:rsidR="00832CE5">
        <w:rPr>
          <w:rFonts w:ascii="Garamond" w:hAnsi="Garamond"/>
        </w:rPr>
        <w:t>ill</w:t>
      </w:r>
      <w:proofErr w:type="spellEnd"/>
      <w:r>
        <w:rPr>
          <w:rFonts w:ascii="Garamond" w:hAnsi="Garamond"/>
        </w:rPr>
        <w:t xml:space="preserve"> grow 4% per year</w:t>
      </w:r>
      <w:r w:rsidR="00A70F54">
        <w:rPr>
          <w:rFonts w:ascii="Garamond" w:hAnsi="Garamond"/>
        </w:rPr>
        <w:t xml:space="preserve"> (pr</w:t>
      </w:r>
      <w:r w:rsidR="00832CE5">
        <w:rPr>
          <w:rFonts w:ascii="Garamond" w:hAnsi="Garamond"/>
        </w:rPr>
        <w:t>e</w:t>
      </w:r>
      <w:r w:rsidR="00A70F54">
        <w:rPr>
          <w:rFonts w:ascii="Garamond" w:hAnsi="Garamond"/>
        </w:rPr>
        <w:t xml:space="preserve">vious </w:t>
      </w:r>
      <w:proofErr w:type="gramStart"/>
      <w:r w:rsidR="00A70F54">
        <w:rPr>
          <w:rFonts w:ascii="Garamond" w:hAnsi="Garamond"/>
        </w:rPr>
        <w:t>12 year</w:t>
      </w:r>
      <w:proofErr w:type="gramEnd"/>
      <w:r w:rsidR="00A70F54">
        <w:rPr>
          <w:rFonts w:ascii="Garamond" w:hAnsi="Garamond"/>
        </w:rPr>
        <w:t xml:space="preserve"> average)</w:t>
      </w:r>
    </w:p>
    <w:p w14:paraId="3F806A15" w14:textId="6A94706B" w:rsidR="004A6B06" w:rsidRPr="008713B5" w:rsidRDefault="003E6EC8" w:rsidP="002D542A">
      <w:pPr>
        <w:pStyle w:val="ListParagraph"/>
        <w:numPr>
          <w:ilvl w:val="0"/>
          <w:numId w:val="12"/>
        </w:numPr>
        <w:rPr>
          <w:rFonts w:ascii="Garamond" w:hAnsi="Garamond"/>
        </w:rPr>
      </w:pPr>
      <w:r>
        <w:rPr>
          <w:rFonts w:ascii="Garamond" w:hAnsi="Garamond"/>
        </w:rPr>
        <w:t xml:space="preserve">The discount rate equaled Ulta’s WACC of </w:t>
      </w:r>
      <w:r w:rsidR="002D542A">
        <w:rPr>
          <w:rFonts w:ascii="Garamond" w:hAnsi="Garamond"/>
        </w:rPr>
        <w:t>8.5%</w:t>
      </w:r>
      <w:r w:rsidR="003438F6">
        <w:rPr>
          <w:rFonts w:ascii="Garamond" w:hAnsi="Garamond"/>
        </w:rPr>
        <w:t xml:space="preserve"> (calculated as </w:t>
      </w:r>
      <w:r w:rsidR="00300350">
        <w:rPr>
          <w:rFonts w:ascii="Garamond" w:hAnsi="Garamond"/>
        </w:rPr>
        <w:t xml:space="preserve">an </w:t>
      </w:r>
      <w:r w:rsidR="003438F6">
        <w:rPr>
          <w:rFonts w:ascii="Garamond" w:hAnsi="Garamond"/>
        </w:rPr>
        <w:t>average from 5 separate sources)</w:t>
      </w:r>
      <w:r w:rsidR="00105FC8">
        <w:rPr>
          <w:rFonts w:ascii="Garamond" w:hAnsi="Garamond"/>
        </w:rPr>
        <w:t>.</w:t>
      </w:r>
    </w:p>
    <w:p w14:paraId="1C4CD08D" w14:textId="6E656C56" w:rsidR="008E2F31" w:rsidRDefault="00B77C38" w:rsidP="000727AD">
      <w:pPr>
        <w:jc w:val="center"/>
        <w:rPr>
          <w:rFonts w:ascii="Garamond" w:hAnsi="Garamond"/>
        </w:rPr>
      </w:pPr>
      <w:r w:rsidRPr="00B77C38">
        <w:drawing>
          <wp:inline distT="0" distB="0" distL="0" distR="0" wp14:anchorId="5297B5FF" wp14:editId="1EB56182">
            <wp:extent cx="5156791" cy="3763024"/>
            <wp:effectExtent l="0" t="0" r="6350" b="8890"/>
            <wp:docPr id="155235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9153" cy="3801234"/>
                    </a:xfrm>
                    <a:prstGeom prst="rect">
                      <a:avLst/>
                    </a:prstGeom>
                    <a:noFill/>
                    <a:ln>
                      <a:noFill/>
                    </a:ln>
                  </pic:spPr>
                </pic:pic>
              </a:graphicData>
            </a:graphic>
          </wp:inline>
        </w:drawing>
      </w:r>
    </w:p>
    <w:p w14:paraId="5C312863" w14:textId="47346CDF" w:rsidR="008B46B5" w:rsidRPr="006D5C8B" w:rsidRDefault="00FD275F" w:rsidP="006D5C8B">
      <w:pPr>
        <w:jc w:val="center"/>
        <w:rPr>
          <w:rFonts w:ascii="Garamond" w:hAnsi="Garamond"/>
          <w:sz w:val="18"/>
          <w:szCs w:val="18"/>
        </w:rPr>
      </w:pPr>
      <w:r>
        <w:rPr>
          <w:rFonts w:ascii="Garamond" w:hAnsi="Garamond"/>
          <w:sz w:val="18"/>
          <w:szCs w:val="18"/>
        </w:rPr>
        <w:t xml:space="preserve">Figure </w:t>
      </w:r>
      <w:r w:rsidR="00C26783">
        <w:rPr>
          <w:rFonts w:ascii="Garamond" w:hAnsi="Garamond"/>
          <w:sz w:val="18"/>
          <w:szCs w:val="18"/>
        </w:rPr>
        <w:t>7</w:t>
      </w:r>
    </w:p>
    <w:p w14:paraId="558DB21C" w14:textId="41079AC2" w:rsidR="000424C5" w:rsidRDefault="004C3BFB" w:rsidP="007D5924">
      <w:pPr>
        <w:rPr>
          <w:rFonts w:ascii="Garamond" w:hAnsi="Garamond"/>
        </w:rPr>
      </w:pPr>
      <w:r>
        <w:rPr>
          <w:rFonts w:ascii="Garamond" w:hAnsi="Garamond"/>
        </w:rPr>
        <w:t xml:space="preserve">With conservative estimates such as </w:t>
      </w:r>
      <w:r w:rsidR="00AA4C3D">
        <w:rPr>
          <w:rFonts w:ascii="Garamond" w:hAnsi="Garamond"/>
        </w:rPr>
        <w:t>3</w:t>
      </w:r>
      <w:r>
        <w:rPr>
          <w:rFonts w:ascii="Garamond" w:hAnsi="Garamond"/>
        </w:rPr>
        <w:t>% comp growth and new stores only producing the average store revenue</w:t>
      </w:r>
      <w:r w:rsidR="00CB6ECE">
        <w:rPr>
          <w:rFonts w:ascii="Garamond" w:hAnsi="Garamond"/>
        </w:rPr>
        <w:t xml:space="preserve">, Ulta’s base case valuation listed </w:t>
      </w:r>
      <w:r w:rsidR="00AA4C3D">
        <w:rPr>
          <w:rFonts w:ascii="Garamond" w:hAnsi="Garamond"/>
        </w:rPr>
        <w:t>2</w:t>
      </w:r>
      <w:r w:rsidR="00316926">
        <w:rPr>
          <w:rFonts w:ascii="Garamond" w:hAnsi="Garamond"/>
        </w:rPr>
        <w:t>0.29</w:t>
      </w:r>
      <w:r w:rsidR="00EF1A50">
        <w:rPr>
          <w:rFonts w:ascii="Garamond" w:hAnsi="Garamond"/>
        </w:rPr>
        <w:t>% higher than</w:t>
      </w:r>
      <w:r w:rsidR="00516FFB">
        <w:rPr>
          <w:rFonts w:ascii="Garamond" w:hAnsi="Garamond"/>
        </w:rPr>
        <w:t xml:space="preserve"> its</w:t>
      </w:r>
      <w:r w:rsidR="00EF1A50">
        <w:rPr>
          <w:rFonts w:ascii="Garamond" w:hAnsi="Garamond"/>
        </w:rPr>
        <w:t xml:space="preserve"> </w:t>
      </w:r>
      <w:r w:rsidR="00516FFB">
        <w:rPr>
          <w:rFonts w:ascii="Garamond" w:hAnsi="Garamond"/>
        </w:rPr>
        <w:t xml:space="preserve">July </w:t>
      </w:r>
      <w:r w:rsidR="00980012">
        <w:rPr>
          <w:rFonts w:ascii="Garamond" w:hAnsi="Garamond"/>
        </w:rPr>
        <w:t>24th</w:t>
      </w:r>
      <w:r w:rsidR="00300350">
        <w:rPr>
          <w:rFonts w:ascii="Garamond" w:hAnsi="Garamond"/>
        </w:rPr>
        <w:t xml:space="preserve"> </w:t>
      </w:r>
      <w:r w:rsidR="004B4001">
        <w:rPr>
          <w:rFonts w:ascii="Garamond" w:hAnsi="Garamond"/>
        </w:rPr>
        <w:t>closing</w:t>
      </w:r>
      <w:r w:rsidR="00516FFB">
        <w:rPr>
          <w:rFonts w:ascii="Garamond" w:hAnsi="Garamond"/>
        </w:rPr>
        <w:t xml:space="preserve"> share price of </w:t>
      </w:r>
      <w:r w:rsidR="000A516B">
        <w:rPr>
          <w:rFonts w:ascii="Garamond" w:hAnsi="Garamond"/>
        </w:rPr>
        <w:t>$3</w:t>
      </w:r>
      <w:r w:rsidR="00580999">
        <w:rPr>
          <w:rFonts w:ascii="Garamond" w:hAnsi="Garamond"/>
        </w:rPr>
        <w:t>69.6</w:t>
      </w:r>
      <w:r w:rsidR="000A516B">
        <w:rPr>
          <w:rFonts w:ascii="Garamond" w:hAnsi="Garamond"/>
        </w:rPr>
        <w:t>1</w:t>
      </w:r>
      <w:r w:rsidR="00B33456">
        <w:rPr>
          <w:rFonts w:ascii="Garamond" w:hAnsi="Garamond"/>
        </w:rPr>
        <w:t xml:space="preserve">. </w:t>
      </w:r>
      <w:r w:rsidR="0079755E">
        <w:rPr>
          <w:rFonts w:ascii="Garamond" w:hAnsi="Garamond"/>
        </w:rPr>
        <w:t>Additionally, t</w:t>
      </w:r>
      <w:r w:rsidR="009B079B">
        <w:rPr>
          <w:rFonts w:ascii="Garamond" w:hAnsi="Garamond"/>
        </w:rPr>
        <w:t xml:space="preserve">his DCF model </w:t>
      </w:r>
      <w:r w:rsidR="0079755E">
        <w:rPr>
          <w:rFonts w:ascii="Garamond" w:hAnsi="Garamond"/>
        </w:rPr>
        <w:t xml:space="preserve">displays </w:t>
      </w:r>
      <w:r w:rsidR="00717311">
        <w:rPr>
          <w:rFonts w:ascii="Garamond" w:hAnsi="Garamond"/>
        </w:rPr>
        <w:t xml:space="preserve">that </w:t>
      </w:r>
      <w:r w:rsidR="00997A49">
        <w:rPr>
          <w:rFonts w:ascii="Garamond" w:hAnsi="Garamond"/>
        </w:rPr>
        <w:t>while Free Cash Flow decreases from increased capital expenditure and</w:t>
      </w:r>
      <w:r w:rsidR="00AE7000">
        <w:rPr>
          <w:rFonts w:ascii="Garamond" w:hAnsi="Garamond"/>
        </w:rPr>
        <w:t xml:space="preserve"> changes</w:t>
      </w:r>
      <w:r w:rsidR="00997A49">
        <w:rPr>
          <w:rFonts w:ascii="Garamond" w:hAnsi="Garamond"/>
        </w:rPr>
        <w:t xml:space="preserve"> </w:t>
      </w:r>
      <w:r w:rsidR="00AE7000">
        <w:rPr>
          <w:rFonts w:ascii="Garamond" w:hAnsi="Garamond"/>
        </w:rPr>
        <w:t>net working capital</w:t>
      </w:r>
      <w:r w:rsidR="004022BF">
        <w:rPr>
          <w:rFonts w:ascii="Garamond" w:hAnsi="Garamond"/>
        </w:rPr>
        <w:t xml:space="preserve"> </w:t>
      </w:r>
      <w:r w:rsidR="00AE7000">
        <w:rPr>
          <w:rFonts w:ascii="Garamond" w:hAnsi="Garamond"/>
        </w:rPr>
        <w:t xml:space="preserve">from investments in new </w:t>
      </w:r>
      <w:r w:rsidR="00300350">
        <w:rPr>
          <w:rFonts w:ascii="Garamond" w:hAnsi="Garamond"/>
        </w:rPr>
        <w:t>storefronts</w:t>
      </w:r>
      <w:r w:rsidR="00AE7000">
        <w:rPr>
          <w:rFonts w:ascii="Garamond" w:hAnsi="Garamond"/>
        </w:rPr>
        <w:t xml:space="preserve">, these cash flows </w:t>
      </w:r>
      <w:r w:rsidR="00C623F0">
        <w:rPr>
          <w:rFonts w:ascii="Garamond" w:hAnsi="Garamond"/>
        </w:rPr>
        <w:t xml:space="preserve">rebound within the growth period </w:t>
      </w:r>
      <w:r w:rsidR="00DC18AA">
        <w:rPr>
          <w:rFonts w:ascii="Garamond" w:hAnsi="Garamond"/>
        </w:rPr>
        <w:t xml:space="preserve">and provide benefit in the form of higher </w:t>
      </w:r>
      <w:r w:rsidR="009223CB">
        <w:rPr>
          <w:rFonts w:ascii="Garamond" w:hAnsi="Garamond"/>
        </w:rPr>
        <w:t>per</w:t>
      </w:r>
      <w:r w:rsidR="00300350">
        <w:rPr>
          <w:rFonts w:ascii="Garamond" w:hAnsi="Garamond"/>
        </w:rPr>
        <w:t>-</w:t>
      </w:r>
      <w:r w:rsidR="009223CB">
        <w:rPr>
          <w:rFonts w:ascii="Garamond" w:hAnsi="Garamond"/>
        </w:rPr>
        <w:t>share valuations</w:t>
      </w:r>
      <w:r w:rsidR="00F15EF3">
        <w:rPr>
          <w:rFonts w:ascii="Garamond" w:hAnsi="Garamond"/>
        </w:rPr>
        <w:t>.</w:t>
      </w:r>
      <w:r w:rsidR="00E80DDC">
        <w:rPr>
          <w:rFonts w:ascii="Garamond" w:hAnsi="Garamond"/>
        </w:rPr>
        <w:t xml:space="preserve"> </w:t>
      </w:r>
    </w:p>
    <w:p w14:paraId="4A68D35B" w14:textId="16041912" w:rsidR="009223CB" w:rsidRDefault="009223CB" w:rsidP="007D5924">
      <w:pPr>
        <w:rPr>
          <w:rFonts w:ascii="Garamond" w:hAnsi="Garamond"/>
        </w:rPr>
      </w:pPr>
      <w:r>
        <w:rPr>
          <w:rFonts w:ascii="Garamond" w:hAnsi="Garamond"/>
        </w:rPr>
        <w:t>Taking a more simplistic valuation approach</w:t>
      </w:r>
      <w:r w:rsidR="00F5674C">
        <w:rPr>
          <w:rFonts w:ascii="Garamond" w:hAnsi="Garamond"/>
        </w:rPr>
        <w:t xml:space="preserve">, previously within the store growth section of Future Growth Opportunities we found that store and comp growth </w:t>
      </w:r>
      <w:r w:rsidR="005B5AEA">
        <w:rPr>
          <w:rFonts w:ascii="Garamond" w:hAnsi="Garamond"/>
        </w:rPr>
        <w:t xml:space="preserve">will increase revenues </w:t>
      </w:r>
      <w:r w:rsidR="00B116A5">
        <w:rPr>
          <w:rFonts w:ascii="Garamond" w:hAnsi="Garamond"/>
        </w:rPr>
        <w:t xml:space="preserve">by 5-7% each year. </w:t>
      </w:r>
      <w:r w:rsidR="002A6F92">
        <w:rPr>
          <w:rFonts w:ascii="Garamond" w:hAnsi="Garamond"/>
        </w:rPr>
        <w:t>Considering that</w:t>
      </w:r>
      <w:r w:rsidR="008D596C">
        <w:rPr>
          <w:rFonts w:ascii="Garamond" w:hAnsi="Garamond"/>
        </w:rPr>
        <w:t xml:space="preserve"> Ulta </w:t>
      </w:r>
      <w:r w:rsidR="002A6F92">
        <w:rPr>
          <w:rFonts w:ascii="Garamond" w:hAnsi="Garamond"/>
        </w:rPr>
        <w:t xml:space="preserve">margins have stayed </w:t>
      </w:r>
      <w:r w:rsidR="00B92149">
        <w:rPr>
          <w:rFonts w:ascii="Garamond" w:hAnsi="Garamond"/>
        </w:rPr>
        <w:t xml:space="preserve">consistent </w:t>
      </w:r>
      <w:r w:rsidR="004206A9">
        <w:rPr>
          <w:rFonts w:ascii="Garamond" w:hAnsi="Garamond"/>
        </w:rPr>
        <w:t>for the past 12 years</w:t>
      </w:r>
      <w:r w:rsidR="00A46814">
        <w:rPr>
          <w:rFonts w:ascii="Garamond" w:hAnsi="Garamond"/>
        </w:rPr>
        <w:t xml:space="preserve"> it is safe to assume an increase </w:t>
      </w:r>
      <w:r w:rsidR="0037798C">
        <w:rPr>
          <w:rFonts w:ascii="Garamond" w:hAnsi="Garamond"/>
        </w:rPr>
        <w:t>in top</w:t>
      </w:r>
      <w:r w:rsidR="00300350">
        <w:rPr>
          <w:rFonts w:ascii="Garamond" w:hAnsi="Garamond"/>
        </w:rPr>
        <w:t>-l</w:t>
      </w:r>
      <w:r w:rsidR="0037798C">
        <w:rPr>
          <w:rFonts w:ascii="Garamond" w:hAnsi="Garamond"/>
        </w:rPr>
        <w:t xml:space="preserve">ine revenues will be mirrored in earnings. </w:t>
      </w:r>
      <w:r w:rsidR="00DF395F">
        <w:rPr>
          <w:rFonts w:ascii="Garamond" w:hAnsi="Garamond"/>
        </w:rPr>
        <w:t>Therefore</w:t>
      </w:r>
      <w:r w:rsidR="00F66FB6">
        <w:rPr>
          <w:rFonts w:ascii="Garamond" w:hAnsi="Garamond"/>
        </w:rPr>
        <w:t>,</w:t>
      </w:r>
      <w:r w:rsidR="00EC3F96">
        <w:rPr>
          <w:rFonts w:ascii="Garamond" w:hAnsi="Garamond"/>
        </w:rPr>
        <w:t xml:space="preserve"> by </w:t>
      </w:r>
      <w:r w:rsidR="00F510E8">
        <w:rPr>
          <w:rFonts w:ascii="Garamond" w:hAnsi="Garamond"/>
        </w:rPr>
        <w:t xml:space="preserve">using the industry average P/E, which includes companies </w:t>
      </w:r>
      <w:r w:rsidR="0063069B">
        <w:rPr>
          <w:rFonts w:ascii="Garamond" w:hAnsi="Garamond"/>
        </w:rPr>
        <w:t>such as Bath and Body Works, Dicks Sporting Goods, Tractor Supply Company, and Ch</w:t>
      </w:r>
      <w:r w:rsidR="00B31D99">
        <w:rPr>
          <w:rFonts w:ascii="Garamond" w:hAnsi="Garamond"/>
        </w:rPr>
        <w:t xml:space="preserve">ewy, Inc., </w:t>
      </w:r>
      <w:r w:rsidR="00DB1F38">
        <w:rPr>
          <w:rFonts w:ascii="Garamond" w:hAnsi="Garamond"/>
        </w:rPr>
        <w:t xml:space="preserve">the following valuation </w:t>
      </w:r>
      <w:r w:rsidR="00D508C1">
        <w:rPr>
          <w:rFonts w:ascii="Garamond" w:hAnsi="Garamond"/>
        </w:rPr>
        <w:t>can be made:</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99533E" w14:paraId="7CD2F65E" w14:textId="77777777" w:rsidTr="00C26ABA">
        <w:tc>
          <w:tcPr>
            <w:tcW w:w="1798" w:type="dxa"/>
            <w:shd w:val="clear" w:color="auto" w:fill="E97132" w:themeFill="accent2"/>
          </w:tcPr>
          <w:p w14:paraId="1FD93207" w14:textId="69CBC9B5" w:rsidR="0099533E" w:rsidRPr="00C26ABA" w:rsidRDefault="0099533E" w:rsidP="00C26ABA">
            <w:pPr>
              <w:jc w:val="center"/>
              <w:rPr>
                <w:rFonts w:ascii="Garamond" w:hAnsi="Garamond"/>
                <w:b/>
                <w:bCs/>
              </w:rPr>
            </w:pPr>
            <w:r w:rsidRPr="00C26ABA">
              <w:rPr>
                <w:rFonts w:ascii="Garamond" w:hAnsi="Garamond"/>
                <w:b/>
                <w:bCs/>
              </w:rPr>
              <w:t>ULTA Current EPS</w:t>
            </w:r>
          </w:p>
        </w:tc>
        <w:tc>
          <w:tcPr>
            <w:tcW w:w="1798" w:type="dxa"/>
            <w:shd w:val="clear" w:color="auto" w:fill="E97132" w:themeFill="accent2"/>
          </w:tcPr>
          <w:p w14:paraId="6A60F160" w14:textId="5AF2B488" w:rsidR="0099533E" w:rsidRPr="00C26ABA" w:rsidRDefault="0099533E" w:rsidP="00C26ABA">
            <w:pPr>
              <w:jc w:val="center"/>
              <w:rPr>
                <w:rFonts w:ascii="Garamond" w:hAnsi="Garamond"/>
                <w:b/>
                <w:bCs/>
              </w:rPr>
            </w:pPr>
            <w:r w:rsidRPr="00C26ABA">
              <w:rPr>
                <w:rFonts w:ascii="Garamond" w:hAnsi="Garamond"/>
                <w:b/>
                <w:bCs/>
              </w:rPr>
              <w:t xml:space="preserve">Projected </w:t>
            </w:r>
            <w:r w:rsidR="00C104EC">
              <w:rPr>
                <w:rFonts w:ascii="Garamond" w:hAnsi="Garamond"/>
                <w:b/>
                <w:bCs/>
              </w:rPr>
              <w:t>CAGR</w:t>
            </w:r>
          </w:p>
        </w:tc>
        <w:tc>
          <w:tcPr>
            <w:tcW w:w="1798" w:type="dxa"/>
            <w:shd w:val="clear" w:color="auto" w:fill="E97132" w:themeFill="accent2"/>
          </w:tcPr>
          <w:p w14:paraId="2418D0CC" w14:textId="33D74765" w:rsidR="0099533E" w:rsidRPr="00C26ABA" w:rsidRDefault="0099533E" w:rsidP="00C26ABA">
            <w:pPr>
              <w:jc w:val="center"/>
              <w:rPr>
                <w:rFonts w:ascii="Garamond" w:hAnsi="Garamond"/>
                <w:b/>
                <w:bCs/>
              </w:rPr>
            </w:pPr>
            <w:r w:rsidRPr="00C26ABA">
              <w:rPr>
                <w:rFonts w:ascii="Garamond" w:hAnsi="Garamond"/>
                <w:b/>
                <w:bCs/>
              </w:rPr>
              <w:t>Period</w:t>
            </w:r>
          </w:p>
        </w:tc>
        <w:tc>
          <w:tcPr>
            <w:tcW w:w="1798" w:type="dxa"/>
            <w:shd w:val="clear" w:color="auto" w:fill="E97132" w:themeFill="accent2"/>
          </w:tcPr>
          <w:p w14:paraId="670EE6E4" w14:textId="4AD80821" w:rsidR="0099533E" w:rsidRPr="00C26ABA" w:rsidRDefault="0099533E" w:rsidP="00C26ABA">
            <w:pPr>
              <w:jc w:val="center"/>
              <w:rPr>
                <w:rFonts w:ascii="Garamond" w:hAnsi="Garamond"/>
                <w:b/>
                <w:bCs/>
              </w:rPr>
            </w:pPr>
            <w:r w:rsidRPr="00C26ABA">
              <w:rPr>
                <w:rFonts w:ascii="Garamond" w:hAnsi="Garamond"/>
                <w:b/>
                <w:bCs/>
              </w:rPr>
              <w:t>Projected EPS</w:t>
            </w:r>
          </w:p>
        </w:tc>
        <w:tc>
          <w:tcPr>
            <w:tcW w:w="1799" w:type="dxa"/>
            <w:shd w:val="clear" w:color="auto" w:fill="E97132" w:themeFill="accent2"/>
          </w:tcPr>
          <w:p w14:paraId="41BCAF4A" w14:textId="3E408332" w:rsidR="0099533E" w:rsidRPr="00C26ABA" w:rsidRDefault="0099533E" w:rsidP="00C26ABA">
            <w:pPr>
              <w:jc w:val="center"/>
              <w:rPr>
                <w:rFonts w:ascii="Garamond" w:hAnsi="Garamond"/>
                <w:b/>
                <w:bCs/>
              </w:rPr>
            </w:pPr>
            <w:r w:rsidRPr="00C26ABA">
              <w:rPr>
                <w:rFonts w:ascii="Garamond" w:hAnsi="Garamond"/>
                <w:b/>
                <w:bCs/>
              </w:rPr>
              <w:t>Industry Average P/E</w:t>
            </w:r>
          </w:p>
        </w:tc>
        <w:tc>
          <w:tcPr>
            <w:tcW w:w="1799" w:type="dxa"/>
            <w:shd w:val="clear" w:color="auto" w:fill="E97132" w:themeFill="accent2"/>
          </w:tcPr>
          <w:p w14:paraId="7E9D8A63" w14:textId="483158A5" w:rsidR="0099533E" w:rsidRPr="00C26ABA" w:rsidRDefault="0099533E" w:rsidP="00C26ABA">
            <w:pPr>
              <w:jc w:val="center"/>
              <w:rPr>
                <w:rFonts w:ascii="Garamond" w:hAnsi="Garamond"/>
                <w:b/>
                <w:bCs/>
              </w:rPr>
            </w:pPr>
            <w:r w:rsidRPr="00C26ABA">
              <w:rPr>
                <w:rFonts w:ascii="Garamond" w:hAnsi="Garamond"/>
                <w:b/>
                <w:bCs/>
              </w:rPr>
              <w:t>Projected Price</w:t>
            </w:r>
          </w:p>
        </w:tc>
      </w:tr>
      <w:tr w:rsidR="0099533E" w14:paraId="64569AD6" w14:textId="77777777" w:rsidTr="0099533E">
        <w:tc>
          <w:tcPr>
            <w:tcW w:w="1798" w:type="dxa"/>
          </w:tcPr>
          <w:p w14:paraId="44425E79" w14:textId="5F7DB1C0" w:rsidR="0099533E" w:rsidRDefault="005C2D3D" w:rsidP="00C26ABA">
            <w:pPr>
              <w:jc w:val="center"/>
              <w:rPr>
                <w:rFonts w:ascii="Garamond" w:hAnsi="Garamond"/>
              </w:rPr>
            </w:pPr>
            <w:r>
              <w:rPr>
                <w:rFonts w:ascii="Garamond" w:hAnsi="Garamond"/>
              </w:rPr>
              <w:t>$2</w:t>
            </w:r>
            <w:r w:rsidR="009A354A">
              <w:rPr>
                <w:rFonts w:ascii="Garamond" w:hAnsi="Garamond"/>
              </w:rPr>
              <w:t>6.18</w:t>
            </w:r>
          </w:p>
        </w:tc>
        <w:tc>
          <w:tcPr>
            <w:tcW w:w="1798" w:type="dxa"/>
          </w:tcPr>
          <w:p w14:paraId="412F1835" w14:textId="044A5AFC" w:rsidR="0099533E" w:rsidRDefault="005C2D3D" w:rsidP="00C26ABA">
            <w:pPr>
              <w:jc w:val="center"/>
              <w:rPr>
                <w:rFonts w:ascii="Garamond" w:hAnsi="Garamond"/>
              </w:rPr>
            </w:pPr>
            <w:r>
              <w:rPr>
                <w:rFonts w:ascii="Garamond" w:hAnsi="Garamond"/>
              </w:rPr>
              <w:t>5.00%</w:t>
            </w:r>
          </w:p>
        </w:tc>
        <w:tc>
          <w:tcPr>
            <w:tcW w:w="1798" w:type="dxa"/>
          </w:tcPr>
          <w:p w14:paraId="46C07156" w14:textId="4FD2F87B" w:rsidR="0099533E" w:rsidRDefault="009065CD" w:rsidP="00C26ABA">
            <w:pPr>
              <w:jc w:val="center"/>
              <w:rPr>
                <w:rFonts w:ascii="Garamond" w:hAnsi="Garamond"/>
              </w:rPr>
            </w:pPr>
            <w:r>
              <w:rPr>
                <w:rFonts w:ascii="Garamond" w:hAnsi="Garamond"/>
              </w:rPr>
              <w:t>2</w:t>
            </w:r>
            <w:r w:rsidR="005C2D3D">
              <w:rPr>
                <w:rFonts w:ascii="Garamond" w:hAnsi="Garamond"/>
              </w:rPr>
              <w:t xml:space="preserve"> Years</w:t>
            </w:r>
          </w:p>
        </w:tc>
        <w:tc>
          <w:tcPr>
            <w:tcW w:w="1798" w:type="dxa"/>
          </w:tcPr>
          <w:p w14:paraId="5FC8C00A" w14:textId="3E70695F" w:rsidR="0099533E" w:rsidRDefault="00BE540B" w:rsidP="00C26ABA">
            <w:pPr>
              <w:jc w:val="center"/>
              <w:rPr>
                <w:rFonts w:ascii="Garamond" w:hAnsi="Garamond"/>
              </w:rPr>
            </w:pPr>
            <w:r>
              <w:rPr>
                <w:rFonts w:ascii="Garamond" w:hAnsi="Garamond"/>
              </w:rPr>
              <w:t>28.86</w:t>
            </w:r>
          </w:p>
        </w:tc>
        <w:tc>
          <w:tcPr>
            <w:tcW w:w="1799" w:type="dxa"/>
          </w:tcPr>
          <w:p w14:paraId="337C2AA2" w14:textId="409A2259" w:rsidR="0099533E" w:rsidRDefault="00C26ABA" w:rsidP="00C26ABA">
            <w:pPr>
              <w:jc w:val="center"/>
              <w:rPr>
                <w:rFonts w:ascii="Garamond" w:hAnsi="Garamond"/>
              </w:rPr>
            </w:pPr>
            <w:r>
              <w:rPr>
                <w:rFonts w:ascii="Garamond" w:hAnsi="Garamond"/>
              </w:rPr>
              <w:t>1</w:t>
            </w:r>
            <w:r w:rsidR="00BE499C">
              <w:rPr>
                <w:rFonts w:ascii="Garamond" w:hAnsi="Garamond"/>
              </w:rPr>
              <w:t>7.9</w:t>
            </w:r>
          </w:p>
        </w:tc>
        <w:tc>
          <w:tcPr>
            <w:tcW w:w="1799" w:type="dxa"/>
          </w:tcPr>
          <w:p w14:paraId="3D7C4B04" w14:textId="334574AF" w:rsidR="0099533E" w:rsidRPr="00C26ABA" w:rsidRDefault="00C26ABA" w:rsidP="00C26ABA">
            <w:pPr>
              <w:jc w:val="center"/>
              <w:rPr>
                <w:rFonts w:ascii="Garamond" w:hAnsi="Garamond"/>
                <w:b/>
                <w:bCs/>
              </w:rPr>
            </w:pPr>
            <w:r w:rsidRPr="00C26ABA">
              <w:rPr>
                <w:rFonts w:ascii="Garamond" w:hAnsi="Garamond"/>
                <w:b/>
                <w:bCs/>
              </w:rPr>
              <w:t>$</w:t>
            </w:r>
            <w:r w:rsidR="00C94A81">
              <w:rPr>
                <w:rFonts w:ascii="Garamond" w:hAnsi="Garamond"/>
                <w:b/>
                <w:bCs/>
              </w:rPr>
              <w:t>516.</w:t>
            </w:r>
            <w:r w:rsidR="00DC4DF8">
              <w:rPr>
                <w:rFonts w:ascii="Garamond" w:hAnsi="Garamond"/>
                <w:b/>
                <w:bCs/>
              </w:rPr>
              <w:t>59</w:t>
            </w:r>
          </w:p>
        </w:tc>
      </w:tr>
    </w:tbl>
    <w:p w14:paraId="19DBA2D6" w14:textId="06CB55F6" w:rsidR="00B96F69" w:rsidRDefault="00C26ABA" w:rsidP="00B96F69">
      <w:pPr>
        <w:jc w:val="center"/>
        <w:rPr>
          <w:rFonts w:ascii="Garamond" w:hAnsi="Garamond"/>
          <w:sz w:val="18"/>
          <w:szCs w:val="18"/>
        </w:rPr>
      </w:pPr>
      <w:r>
        <w:rPr>
          <w:rFonts w:ascii="Garamond" w:hAnsi="Garamond"/>
          <w:sz w:val="18"/>
          <w:szCs w:val="18"/>
        </w:rPr>
        <w:t xml:space="preserve">Figure </w:t>
      </w:r>
      <w:r w:rsidR="00C26783">
        <w:rPr>
          <w:rFonts w:ascii="Garamond" w:hAnsi="Garamond"/>
          <w:sz w:val="18"/>
          <w:szCs w:val="18"/>
        </w:rPr>
        <w:t>8</w:t>
      </w:r>
    </w:p>
    <w:p w14:paraId="37851369" w14:textId="4E2420E9" w:rsidR="003C2608" w:rsidRPr="003C2608" w:rsidRDefault="003C2608" w:rsidP="00B96F69">
      <w:pPr>
        <w:jc w:val="center"/>
        <w:rPr>
          <w:rFonts w:ascii="Garamond" w:hAnsi="Garamond"/>
          <w:sz w:val="18"/>
          <w:szCs w:val="18"/>
        </w:rPr>
      </w:pPr>
      <w:r>
        <w:rPr>
          <w:rFonts w:ascii="Garamond" w:hAnsi="Garamond"/>
          <w:b/>
          <w:bCs/>
          <w:sz w:val="18"/>
          <w:szCs w:val="18"/>
        </w:rPr>
        <w:t>NOTE</w:t>
      </w:r>
      <w:r w:rsidR="002C16E8">
        <w:rPr>
          <w:rFonts w:ascii="Garamond" w:hAnsi="Garamond"/>
          <w:sz w:val="18"/>
          <w:szCs w:val="18"/>
        </w:rPr>
        <w:t xml:space="preserve">: </w:t>
      </w:r>
      <w:r w:rsidR="0092620C">
        <w:rPr>
          <w:rFonts w:ascii="Garamond" w:hAnsi="Garamond"/>
          <w:sz w:val="18"/>
          <w:szCs w:val="18"/>
        </w:rPr>
        <w:t xml:space="preserve">Industry Average P/E taken from S&amp;P Capital IQ’s </w:t>
      </w:r>
      <w:r w:rsidR="00684F86">
        <w:rPr>
          <w:rFonts w:ascii="Garamond" w:hAnsi="Garamond"/>
          <w:sz w:val="18"/>
          <w:szCs w:val="18"/>
        </w:rPr>
        <w:t>“Other Specialty Retail” industry</w:t>
      </w:r>
      <w:r w:rsidR="00832CE5">
        <w:rPr>
          <w:rFonts w:ascii="Garamond" w:hAnsi="Garamond"/>
          <w:sz w:val="18"/>
          <w:szCs w:val="18"/>
        </w:rPr>
        <w:t>.</w:t>
      </w:r>
    </w:p>
    <w:p w14:paraId="01003DAA" w14:textId="12D88473" w:rsidR="00684F86" w:rsidRDefault="00E80DDC" w:rsidP="00A93CE5">
      <w:pPr>
        <w:rPr>
          <w:rFonts w:ascii="Garamond" w:hAnsi="Garamond"/>
        </w:rPr>
      </w:pPr>
      <w:r>
        <w:rPr>
          <w:rFonts w:ascii="Garamond" w:hAnsi="Garamond"/>
        </w:rPr>
        <w:lastRenderedPageBreak/>
        <w:t xml:space="preserve">The significant gap </w:t>
      </w:r>
      <w:r w:rsidR="00473251">
        <w:rPr>
          <w:rFonts w:ascii="Garamond" w:hAnsi="Garamond"/>
        </w:rPr>
        <w:t xml:space="preserve">between </w:t>
      </w:r>
      <w:r w:rsidR="00EC6CAF">
        <w:rPr>
          <w:rFonts w:ascii="Garamond" w:hAnsi="Garamond"/>
        </w:rPr>
        <w:t>both</w:t>
      </w:r>
      <w:r w:rsidR="00473251">
        <w:rPr>
          <w:rFonts w:ascii="Garamond" w:hAnsi="Garamond"/>
        </w:rPr>
        <w:t xml:space="preserve"> </w:t>
      </w:r>
      <w:r w:rsidR="00F56B7C">
        <w:rPr>
          <w:rFonts w:ascii="Garamond" w:hAnsi="Garamond"/>
        </w:rPr>
        <w:t>model</w:t>
      </w:r>
      <w:r w:rsidR="00300350">
        <w:rPr>
          <w:rFonts w:ascii="Garamond" w:hAnsi="Garamond"/>
        </w:rPr>
        <w:t>’</w:t>
      </w:r>
      <w:r w:rsidR="00F56B7C">
        <w:rPr>
          <w:rFonts w:ascii="Garamond" w:hAnsi="Garamond"/>
        </w:rPr>
        <w:t>s</w:t>
      </w:r>
      <w:r w:rsidR="00473251">
        <w:rPr>
          <w:rFonts w:ascii="Garamond" w:hAnsi="Garamond"/>
        </w:rPr>
        <w:t xml:space="preserve"> valuation</w:t>
      </w:r>
      <w:r w:rsidR="008F30AA">
        <w:rPr>
          <w:rFonts w:ascii="Garamond" w:hAnsi="Garamond"/>
        </w:rPr>
        <w:t>s</w:t>
      </w:r>
      <w:r w:rsidR="00473251">
        <w:rPr>
          <w:rFonts w:ascii="Garamond" w:hAnsi="Garamond"/>
        </w:rPr>
        <w:t xml:space="preserve"> and the current market price </w:t>
      </w:r>
      <w:r w:rsidR="00591D76">
        <w:rPr>
          <w:rFonts w:ascii="Garamond" w:hAnsi="Garamond"/>
        </w:rPr>
        <w:t>of Ulta’s stock begs the question of why</w:t>
      </w:r>
      <w:r w:rsidR="00A93CE5">
        <w:rPr>
          <w:rFonts w:ascii="Garamond" w:hAnsi="Garamond"/>
        </w:rPr>
        <w:t xml:space="preserve"> suc</w:t>
      </w:r>
      <w:r w:rsidR="00300350">
        <w:rPr>
          <w:rFonts w:ascii="Garamond" w:hAnsi="Garamond"/>
        </w:rPr>
        <w:t>h</w:t>
      </w:r>
      <w:r w:rsidR="00A93CE5">
        <w:rPr>
          <w:rFonts w:ascii="Garamond" w:hAnsi="Garamond"/>
        </w:rPr>
        <w:t xml:space="preserve"> mispricing exists, which leads us to our next section.</w:t>
      </w:r>
    </w:p>
    <w:p w14:paraId="13CA956A" w14:textId="73C161EB" w:rsidR="001B5229" w:rsidRPr="006D5C8B" w:rsidRDefault="001B5229" w:rsidP="00A93CE5">
      <w:pPr>
        <w:rPr>
          <w:rFonts w:ascii="Garamond" w:hAnsi="Garamond"/>
        </w:rPr>
      </w:pPr>
      <w:r w:rsidRPr="0090378E">
        <w:rPr>
          <w:rFonts w:ascii="Garamond" w:hAnsi="Garamond"/>
          <w:b/>
          <w:bCs/>
          <w:color w:val="E97132" w:themeColor="accent2"/>
          <w:sz w:val="28"/>
          <w:szCs w:val="28"/>
        </w:rPr>
        <w:t xml:space="preserve">Why </w:t>
      </w:r>
      <w:r w:rsidR="0090378E">
        <w:rPr>
          <w:rFonts w:ascii="Garamond" w:hAnsi="Garamond"/>
          <w:b/>
          <w:bCs/>
          <w:color w:val="E97132" w:themeColor="accent2"/>
          <w:sz w:val="28"/>
          <w:szCs w:val="28"/>
        </w:rPr>
        <w:t>E</w:t>
      </w:r>
      <w:r w:rsidRPr="0090378E">
        <w:rPr>
          <w:rFonts w:ascii="Garamond" w:hAnsi="Garamond"/>
          <w:b/>
          <w:bCs/>
          <w:color w:val="E97132" w:themeColor="accent2"/>
          <w:sz w:val="28"/>
          <w:szCs w:val="28"/>
        </w:rPr>
        <w:t xml:space="preserve">veryone </w:t>
      </w:r>
      <w:r w:rsidR="002E6E31">
        <w:rPr>
          <w:rFonts w:ascii="Garamond" w:hAnsi="Garamond"/>
          <w:b/>
          <w:bCs/>
          <w:color w:val="E97132" w:themeColor="accent2"/>
          <w:sz w:val="28"/>
          <w:szCs w:val="28"/>
        </w:rPr>
        <w:t>E</w:t>
      </w:r>
      <w:r w:rsidRPr="0090378E">
        <w:rPr>
          <w:rFonts w:ascii="Garamond" w:hAnsi="Garamond"/>
          <w:b/>
          <w:bCs/>
          <w:color w:val="E97132" w:themeColor="accent2"/>
          <w:sz w:val="28"/>
          <w:szCs w:val="28"/>
        </w:rPr>
        <w:t xml:space="preserve">lse </w:t>
      </w:r>
      <w:r w:rsidR="00300350">
        <w:rPr>
          <w:rFonts w:ascii="Garamond" w:hAnsi="Garamond"/>
          <w:b/>
          <w:bCs/>
          <w:color w:val="E97132" w:themeColor="accent2"/>
          <w:sz w:val="28"/>
          <w:szCs w:val="28"/>
        </w:rPr>
        <w:t>I</w:t>
      </w:r>
      <w:r w:rsidRPr="0090378E">
        <w:rPr>
          <w:rFonts w:ascii="Garamond" w:hAnsi="Garamond"/>
          <w:b/>
          <w:bCs/>
          <w:color w:val="E97132" w:themeColor="accent2"/>
          <w:sz w:val="28"/>
          <w:szCs w:val="28"/>
        </w:rPr>
        <w:t xml:space="preserve">s </w:t>
      </w:r>
      <w:r w:rsidR="0090378E">
        <w:rPr>
          <w:rFonts w:ascii="Garamond" w:hAnsi="Garamond"/>
          <w:b/>
          <w:bCs/>
          <w:color w:val="E97132" w:themeColor="accent2"/>
          <w:sz w:val="28"/>
          <w:szCs w:val="28"/>
        </w:rPr>
        <w:t>W</w:t>
      </w:r>
      <w:r w:rsidRPr="0090378E">
        <w:rPr>
          <w:rFonts w:ascii="Garamond" w:hAnsi="Garamond"/>
          <w:b/>
          <w:bCs/>
          <w:color w:val="E97132" w:themeColor="accent2"/>
          <w:sz w:val="28"/>
          <w:szCs w:val="28"/>
        </w:rPr>
        <w:t>rong</w:t>
      </w:r>
    </w:p>
    <w:p w14:paraId="5DD2CB5D" w14:textId="44C01679" w:rsidR="001B5229" w:rsidRDefault="00AB0D0F" w:rsidP="004964E5">
      <w:pPr>
        <w:rPr>
          <w:rFonts w:ascii="Garamond" w:hAnsi="Garamond"/>
        </w:rPr>
      </w:pPr>
      <w:r>
        <w:rPr>
          <w:rFonts w:ascii="Garamond" w:hAnsi="Garamond"/>
        </w:rPr>
        <w:t>On April 3</w:t>
      </w:r>
      <w:r w:rsidRPr="008F79F9">
        <w:rPr>
          <w:rFonts w:ascii="Garamond" w:hAnsi="Garamond"/>
          <w:vertAlign w:val="superscript"/>
        </w:rPr>
        <w:t>rd</w:t>
      </w:r>
      <w:r w:rsidR="008F79F9">
        <w:rPr>
          <w:rFonts w:ascii="Garamond" w:hAnsi="Garamond"/>
        </w:rPr>
        <w:t>, 2024</w:t>
      </w:r>
      <w:r w:rsidR="00B711A8">
        <w:rPr>
          <w:rFonts w:ascii="Garamond" w:hAnsi="Garamond"/>
        </w:rPr>
        <w:t>, following J.P. Morgans 10</w:t>
      </w:r>
      <w:r w:rsidR="00B711A8" w:rsidRPr="00B711A8">
        <w:rPr>
          <w:rFonts w:ascii="Garamond" w:hAnsi="Garamond"/>
          <w:vertAlign w:val="superscript"/>
        </w:rPr>
        <w:t>th</w:t>
      </w:r>
      <w:r w:rsidR="00B711A8">
        <w:rPr>
          <w:rFonts w:ascii="Garamond" w:hAnsi="Garamond"/>
        </w:rPr>
        <w:t xml:space="preserve"> Annual Retail Roundup Conference, Ulta’s share price dropped </w:t>
      </w:r>
      <w:r w:rsidR="00EC1801">
        <w:rPr>
          <w:rFonts w:ascii="Garamond" w:hAnsi="Garamond"/>
        </w:rPr>
        <w:t xml:space="preserve">15.34% from </w:t>
      </w:r>
      <w:r w:rsidR="00F759BC">
        <w:rPr>
          <w:rFonts w:ascii="Garamond" w:hAnsi="Garamond"/>
        </w:rPr>
        <w:t>$519.68 to $439.98. Since then</w:t>
      </w:r>
      <w:r w:rsidR="00BD2C35">
        <w:rPr>
          <w:rFonts w:ascii="Garamond" w:hAnsi="Garamond"/>
        </w:rPr>
        <w:t xml:space="preserve">, it has </w:t>
      </w:r>
      <w:r w:rsidR="005C40B4">
        <w:rPr>
          <w:rFonts w:ascii="Garamond" w:hAnsi="Garamond"/>
        </w:rPr>
        <w:t>continued</w:t>
      </w:r>
      <w:r w:rsidR="00BD2C35">
        <w:rPr>
          <w:rFonts w:ascii="Garamond" w:hAnsi="Garamond"/>
        </w:rPr>
        <w:t xml:space="preserve"> to drop </w:t>
      </w:r>
      <w:r w:rsidR="00723495">
        <w:rPr>
          <w:rFonts w:ascii="Garamond" w:hAnsi="Garamond"/>
        </w:rPr>
        <w:t>1</w:t>
      </w:r>
      <w:r w:rsidR="0007645D">
        <w:rPr>
          <w:rFonts w:ascii="Garamond" w:hAnsi="Garamond"/>
        </w:rPr>
        <w:t>6</w:t>
      </w:r>
      <w:r w:rsidR="00723495">
        <w:rPr>
          <w:rFonts w:ascii="Garamond" w:hAnsi="Garamond"/>
        </w:rPr>
        <w:t>% to $3</w:t>
      </w:r>
      <w:r w:rsidR="00580999">
        <w:rPr>
          <w:rFonts w:ascii="Garamond" w:hAnsi="Garamond"/>
        </w:rPr>
        <w:t>69.6</w:t>
      </w:r>
      <w:r w:rsidR="00723495">
        <w:rPr>
          <w:rFonts w:ascii="Garamond" w:hAnsi="Garamond"/>
        </w:rPr>
        <w:t>1 per share.</w:t>
      </w:r>
      <w:r w:rsidR="003B4E2F">
        <w:rPr>
          <w:rFonts w:ascii="Garamond" w:hAnsi="Garamond"/>
        </w:rPr>
        <w:t xml:space="preserve"> </w:t>
      </w:r>
      <w:r w:rsidR="00CA2303">
        <w:rPr>
          <w:rFonts w:ascii="Garamond" w:hAnsi="Garamond"/>
        </w:rPr>
        <w:t>Through the lens of P</w:t>
      </w:r>
      <w:r w:rsidR="009657A1">
        <w:rPr>
          <w:rFonts w:ascii="Garamond" w:hAnsi="Garamond"/>
        </w:rPr>
        <w:t>/</w:t>
      </w:r>
      <w:r w:rsidR="00CA2303">
        <w:rPr>
          <w:rFonts w:ascii="Garamond" w:hAnsi="Garamond"/>
        </w:rPr>
        <w:t xml:space="preserve">E ratios, </w:t>
      </w:r>
      <w:r w:rsidR="00856ACA">
        <w:rPr>
          <w:rFonts w:ascii="Garamond" w:hAnsi="Garamond"/>
        </w:rPr>
        <w:t>the 2023 P</w:t>
      </w:r>
      <w:r w:rsidR="009657A1">
        <w:rPr>
          <w:rFonts w:ascii="Garamond" w:hAnsi="Garamond"/>
        </w:rPr>
        <w:t>/</w:t>
      </w:r>
      <w:r w:rsidR="00856ACA">
        <w:rPr>
          <w:rFonts w:ascii="Garamond" w:hAnsi="Garamond"/>
        </w:rPr>
        <w:t xml:space="preserve">E average </w:t>
      </w:r>
      <w:r w:rsidR="007F2B84">
        <w:rPr>
          <w:rFonts w:ascii="Garamond" w:hAnsi="Garamond"/>
        </w:rPr>
        <w:t>is down to 17.74, 43.44% lower than its</w:t>
      </w:r>
      <w:r w:rsidR="00514932">
        <w:rPr>
          <w:rFonts w:ascii="Garamond" w:hAnsi="Garamond"/>
        </w:rPr>
        <w:t xml:space="preserve"> 2012-2023</w:t>
      </w:r>
      <w:r w:rsidR="007F2B84">
        <w:rPr>
          <w:rFonts w:ascii="Garamond" w:hAnsi="Garamond"/>
        </w:rPr>
        <w:t xml:space="preserve"> average </w:t>
      </w:r>
      <w:r w:rsidR="00514932">
        <w:rPr>
          <w:rFonts w:ascii="Garamond" w:hAnsi="Garamond"/>
        </w:rPr>
        <w:t>of 31.36</w:t>
      </w:r>
      <w:r w:rsidR="00EE62BB">
        <w:rPr>
          <w:rFonts w:ascii="Garamond" w:hAnsi="Garamond"/>
        </w:rPr>
        <w:t>. This significant drop can be attributed to two main factors: 1)</w:t>
      </w:r>
      <w:r w:rsidR="007C7B8D">
        <w:rPr>
          <w:rFonts w:ascii="Garamond" w:hAnsi="Garamond"/>
        </w:rPr>
        <w:t xml:space="preserve"> The announcement of “</w:t>
      </w:r>
      <w:r w:rsidR="007C7B8D" w:rsidRPr="007C7B8D">
        <w:rPr>
          <w:rFonts w:ascii="Garamond" w:hAnsi="Garamond"/>
        </w:rPr>
        <w:t>a bit slower growth than we had anticipated in the category so far this year</w:t>
      </w:r>
      <w:r w:rsidR="007C7B8D">
        <w:rPr>
          <w:rFonts w:ascii="Garamond" w:hAnsi="Garamond"/>
        </w:rPr>
        <w:t xml:space="preserve">” from David Kimbell during the </w:t>
      </w:r>
      <w:r w:rsidR="00DB1ACF">
        <w:rPr>
          <w:rFonts w:ascii="Garamond" w:hAnsi="Garamond"/>
        </w:rPr>
        <w:t>J.P. Morgan</w:t>
      </w:r>
      <w:r w:rsidR="007C7B8D">
        <w:rPr>
          <w:rFonts w:ascii="Garamond" w:hAnsi="Garamond"/>
        </w:rPr>
        <w:t xml:space="preserve"> Conference, </w:t>
      </w:r>
      <w:r w:rsidR="00300350">
        <w:rPr>
          <w:rFonts w:ascii="Garamond" w:hAnsi="Garamond"/>
        </w:rPr>
        <w:t xml:space="preserve">and </w:t>
      </w:r>
      <w:r w:rsidR="007C7B8D">
        <w:rPr>
          <w:rFonts w:ascii="Garamond" w:hAnsi="Garamond"/>
        </w:rPr>
        <w:t>2)</w:t>
      </w:r>
      <w:r w:rsidR="001B5229" w:rsidRPr="00D14C31">
        <w:rPr>
          <w:rFonts w:ascii="Garamond" w:hAnsi="Garamond"/>
        </w:rPr>
        <w:t xml:space="preserve"> subpar earnings results announced in Q1 of 2024 that ha</w:t>
      </w:r>
      <w:r w:rsidR="00300350">
        <w:rPr>
          <w:rFonts w:ascii="Garamond" w:hAnsi="Garamond"/>
        </w:rPr>
        <w:t>ve</w:t>
      </w:r>
      <w:r w:rsidR="001B5229" w:rsidRPr="00D14C31">
        <w:rPr>
          <w:rFonts w:ascii="Garamond" w:hAnsi="Garamond"/>
        </w:rPr>
        <w:t xml:space="preserve"> resulted in a decreased forward guidance for Ulta</w:t>
      </w:r>
      <w:r w:rsidR="00B855B3">
        <w:rPr>
          <w:rFonts w:ascii="Garamond" w:hAnsi="Garamond"/>
        </w:rPr>
        <w:t>.</w:t>
      </w:r>
    </w:p>
    <w:p w14:paraId="0C2D5B99" w14:textId="5964DB99" w:rsidR="005C1001" w:rsidRDefault="005C1001" w:rsidP="005C1001">
      <w:pPr>
        <w:jc w:val="center"/>
        <w:rPr>
          <w:rFonts w:ascii="Garamond" w:hAnsi="Garamond"/>
        </w:rPr>
      </w:pPr>
      <w:r w:rsidRPr="005C1001">
        <w:rPr>
          <w:rFonts w:ascii="Garamond" w:hAnsi="Garamond"/>
          <w:noProof/>
        </w:rPr>
        <w:drawing>
          <wp:inline distT="0" distB="0" distL="0" distR="0" wp14:anchorId="62F5D767" wp14:editId="13ECF494">
            <wp:extent cx="6858000" cy="2110740"/>
            <wp:effectExtent l="0" t="0" r="0" b="3810"/>
            <wp:docPr id="43144590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45905" name="Picture 1" descr="A screenshot of a graph&#10;&#10;Description automatically generated"/>
                    <pic:cNvPicPr/>
                  </pic:nvPicPr>
                  <pic:blipFill rotWithShape="1">
                    <a:blip r:embed="rId14"/>
                    <a:srcRect b="4097"/>
                    <a:stretch/>
                  </pic:blipFill>
                  <pic:spPr bwMode="auto">
                    <a:xfrm>
                      <a:off x="0" y="0"/>
                      <a:ext cx="6858000" cy="2110740"/>
                    </a:xfrm>
                    <a:prstGeom prst="rect">
                      <a:avLst/>
                    </a:prstGeom>
                    <a:ln>
                      <a:noFill/>
                    </a:ln>
                    <a:extLst>
                      <a:ext uri="{53640926-AAD7-44D8-BBD7-CCE9431645EC}">
                        <a14:shadowObscured xmlns:a14="http://schemas.microsoft.com/office/drawing/2010/main"/>
                      </a:ext>
                    </a:extLst>
                  </pic:spPr>
                </pic:pic>
              </a:graphicData>
            </a:graphic>
          </wp:inline>
        </w:drawing>
      </w:r>
    </w:p>
    <w:p w14:paraId="50A2291F" w14:textId="34F84886" w:rsidR="005C1001" w:rsidRPr="005C1001" w:rsidRDefault="005C1001" w:rsidP="005C1001">
      <w:pPr>
        <w:jc w:val="center"/>
        <w:rPr>
          <w:rFonts w:ascii="Garamond" w:hAnsi="Garamond"/>
          <w:sz w:val="18"/>
          <w:szCs w:val="18"/>
        </w:rPr>
      </w:pPr>
      <w:r>
        <w:rPr>
          <w:rFonts w:ascii="Garamond" w:hAnsi="Garamond"/>
          <w:sz w:val="18"/>
          <w:szCs w:val="18"/>
        </w:rPr>
        <w:t xml:space="preserve">Figure </w:t>
      </w:r>
      <w:r w:rsidR="00C26783">
        <w:rPr>
          <w:rFonts w:ascii="Garamond" w:hAnsi="Garamond"/>
          <w:sz w:val="18"/>
          <w:szCs w:val="18"/>
        </w:rPr>
        <w:t>9</w:t>
      </w:r>
      <w:r>
        <w:rPr>
          <w:rFonts w:ascii="Garamond" w:hAnsi="Garamond"/>
          <w:sz w:val="18"/>
          <w:szCs w:val="18"/>
        </w:rPr>
        <w:t xml:space="preserve"> (updated guidance)</w:t>
      </w:r>
    </w:p>
    <w:p w14:paraId="367E8698" w14:textId="2D3583F2" w:rsidR="008F7802" w:rsidRDefault="001B5229" w:rsidP="001869BD">
      <w:pPr>
        <w:rPr>
          <w:rFonts w:ascii="Garamond" w:hAnsi="Garamond"/>
        </w:rPr>
      </w:pPr>
      <w:r w:rsidRPr="00D14C31">
        <w:rPr>
          <w:rFonts w:ascii="Garamond" w:hAnsi="Garamond"/>
        </w:rPr>
        <w:t xml:space="preserve">Over the previous 3 years, as the economy has emerged from the pandemic, the beauty and cosmetics industry experienced "unprecedented double-digit growth" as Kecia Steelman put it during Oppenheimer's 24th Annual Virtual Consumer Growth and </w:t>
      </w:r>
      <w:r w:rsidR="00300350">
        <w:rPr>
          <w:rFonts w:ascii="Garamond" w:hAnsi="Garamond"/>
        </w:rPr>
        <w:t>E-commerce</w:t>
      </w:r>
      <w:r w:rsidRPr="00D14C31">
        <w:rPr>
          <w:rFonts w:ascii="Garamond" w:hAnsi="Garamond"/>
        </w:rPr>
        <w:t xml:space="preserve"> Conference</w:t>
      </w:r>
      <w:r w:rsidR="001869BD">
        <w:rPr>
          <w:rFonts w:ascii="Garamond" w:hAnsi="Garamond"/>
        </w:rPr>
        <w:t xml:space="preserve">. </w:t>
      </w:r>
      <w:r w:rsidRPr="00D14C31">
        <w:rPr>
          <w:rFonts w:ascii="Garamond" w:hAnsi="Garamond"/>
        </w:rPr>
        <w:t xml:space="preserve">Therefore, when </w:t>
      </w:r>
      <w:r w:rsidR="00F63FF3">
        <w:rPr>
          <w:rFonts w:ascii="Garamond" w:hAnsi="Garamond"/>
        </w:rPr>
        <w:t>the slower</w:t>
      </w:r>
      <w:r w:rsidR="00300350">
        <w:rPr>
          <w:rFonts w:ascii="Garamond" w:hAnsi="Garamond"/>
        </w:rPr>
        <w:t>-</w:t>
      </w:r>
      <w:r w:rsidR="00F63FF3">
        <w:rPr>
          <w:rFonts w:ascii="Garamond" w:hAnsi="Garamond"/>
        </w:rPr>
        <w:t>than</w:t>
      </w:r>
      <w:r w:rsidR="00300350">
        <w:rPr>
          <w:rFonts w:ascii="Garamond" w:hAnsi="Garamond"/>
        </w:rPr>
        <w:t>-</w:t>
      </w:r>
      <w:r w:rsidR="00F63FF3">
        <w:rPr>
          <w:rFonts w:ascii="Garamond" w:hAnsi="Garamond"/>
        </w:rPr>
        <w:t>expected category growth was announced</w:t>
      </w:r>
      <w:r w:rsidR="00BC7D21">
        <w:rPr>
          <w:rFonts w:ascii="Garamond" w:hAnsi="Garamond"/>
        </w:rPr>
        <w:t xml:space="preserve"> due to demand moderation</w:t>
      </w:r>
      <w:r w:rsidR="00F63FF3">
        <w:rPr>
          <w:rFonts w:ascii="Garamond" w:hAnsi="Garamond"/>
        </w:rPr>
        <w:t xml:space="preserve">, followed by </w:t>
      </w:r>
      <w:r w:rsidRPr="00D14C31">
        <w:rPr>
          <w:rFonts w:ascii="Garamond" w:hAnsi="Garamond"/>
        </w:rPr>
        <w:t>decreased 2024 guidance</w:t>
      </w:r>
      <w:r w:rsidR="00A86981">
        <w:rPr>
          <w:rFonts w:ascii="Garamond" w:hAnsi="Garamond"/>
        </w:rPr>
        <w:t>,</w:t>
      </w:r>
      <w:r w:rsidRPr="00D14C31">
        <w:rPr>
          <w:rFonts w:ascii="Garamond" w:hAnsi="Garamond"/>
        </w:rPr>
        <w:t xml:space="preserve"> the market</w:t>
      </w:r>
      <w:r w:rsidR="0067741F">
        <w:rPr>
          <w:rFonts w:ascii="Garamond" w:hAnsi="Garamond"/>
        </w:rPr>
        <w:t xml:space="preserve"> overreact</w:t>
      </w:r>
      <w:r w:rsidR="000E08FB">
        <w:rPr>
          <w:rFonts w:ascii="Garamond" w:hAnsi="Garamond"/>
        </w:rPr>
        <w:t>ed</w:t>
      </w:r>
      <w:r w:rsidR="0067741F">
        <w:rPr>
          <w:rFonts w:ascii="Garamond" w:hAnsi="Garamond"/>
        </w:rPr>
        <w:t>.</w:t>
      </w:r>
      <w:r w:rsidR="00724F70">
        <w:rPr>
          <w:rFonts w:ascii="Garamond" w:hAnsi="Garamond"/>
        </w:rPr>
        <w:t xml:space="preserve"> </w:t>
      </w:r>
      <w:r w:rsidR="002F2509">
        <w:rPr>
          <w:rFonts w:ascii="Garamond" w:hAnsi="Garamond"/>
        </w:rPr>
        <w:t xml:space="preserve">This market price drop </w:t>
      </w:r>
      <w:r w:rsidR="000E08FB">
        <w:rPr>
          <w:rFonts w:ascii="Garamond" w:hAnsi="Garamond"/>
        </w:rPr>
        <w:t xml:space="preserve">is </w:t>
      </w:r>
      <w:r w:rsidR="002F2509">
        <w:rPr>
          <w:rFonts w:ascii="Garamond" w:hAnsi="Garamond"/>
        </w:rPr>
        <w:t>an overreaction due to the consistent growth</w:t>
      </w:r>
      <w:r w:rsidR="008D596C">
        <w:rPr>
          <w:rFonts w:ascii="Garamond" w:hAnsi="Garamond"/>
        </w:rPr>
        <w:t xml:space="preserve"> Ulta </w:t>
      </w:r>
      <w:r w:rsidR="00C21531">
        <w:rPr>
          <w:rFonts w:ascii="Garamond" w:hAnsi="Garamond"/>
        </w:rPr>
        <w:t>has reported even during this slowdown</w:t>
      </w:r>
      <w:r w:rsidR="003D581F">
        <w:rPr>
          <w:rFonts w:ascii="Garamond" w:hAnsi="Garamond"/>
        </w:rPr>
        <w:t>. Furthermore,</w:t>
      </w:r>
      <w:r w:rsidR="00234A44">
        <w:rPr>
          <w:rFonts w:ascii="Garamond" w:hAnsi="Garamond"/>
        </w:rPr>
        <w:t xml:space="preserve"> the “subpar” reported numbers of the Q1 report </w:t>
      </w:r>
      <w:r w:rsidR="00B24669">
        <w:rPr>
          <w:rFonts w:ascii="Garamond" w:hAnsi="Garamond"/>
        </w:rPr>
        <w:t xml:space="preserve">provided the basis </w:t>
      </w:r>
      <w:r w:rsidR="00CA5E3F">
        <w:rPr>
          <w:rFonts w:ascii="Garamond" w:hAnsi="Garamond"/>
        </w:rPr>
        <w:t>for both the</w:t>
      </w:r>
      <w:r w:rsidR="00B24669">
        <w:rPr>
          <w:rFonts w:ascii="Garamond" w:hAnsi="Garamond"/>
        </w:rPr>
        <w:t xml:space="preserve"> Discounted Cash Flow model</w:t>
      </w:r>
      <w:r w:rsidR="00095BC1">
        <w:rPr>
          <w:rFonts w:ascii="Garamond" w:hAnsi="Garamond"/>
        </w:rPr>
        <w:t xml:space="preserve"> along with the P/E</w:t>
      </w:r>
      <w:r w:rsidR="00CA5E3F">
        <w:rPr>
          <w:rFonts w:ascii="Garamond" w:hAnsi="Garamond"/>
        </w:rPr>
        <w:t xml:space="preserve"> model</w:t>
      </w:r>
      <w:r w:rsidR="003D581F">
        <w:rPr>
          <w:rFonts w:ascii="Garamond" w:hAnsi="Garamond"/>
        </w:rPr>
        <w:t>, which</w:t>
      </w:r>
      <w:r w:rsidR="00CA5E3F">
        <w:rPr>
          <w:rFonts w:ascii="Garamond" w:hAnsi="Garamond"/>
        </w:rPr>
        <w:t xml:space="preserve"> both</w:t>
      </w:r>
      <w:r w:rsidR="003D581F">
        <w:rPr>
          <w:rFonts w:ascii="Garamond" w:hAnsi="Garamond"/>
        </w:rPr>
        <w:t xml:space="preserve"> calculated</w:t>
      </w:r>
      <w:r w:rsidR="005E0653">
        <w:rPr>
          <w:rFonts w:ascii="Garamond" w:hAnsi="Garamond"/>
        </w:rPr>
        <w:t xml:space="preserve"> significant market </w:t>
      </w:r>
      <w:proofErr w:type="spellStart"/>
      <w:r w:rsidR="002146E5">
        <w:rPr>
          <w:rFonts w:ascii="Garamond" w:hAnsi="Garamond"/>
        </w:rPr>
        <w:t>undervaluations</w:t>
      </w:r>
      <w:proofErr w:type="spellEnd"/>
      <w:r w:rsidR="00F65774">
        <w:rPr>
          <w:rFonts w:ascii="Garamond" w:hAnsi="Garamond"/>
        </w:rPr>
        <w:t>.</w:t>
      </w:r>
    </w:p>
    <w:p w14:paraId="4D0356E8" w14:textId="3D6CCE56" w:rsidR="001F112B" w:rsidRDefault="004C4939" w:rsidP="002E6E31">
      <w:pPr>
        <w:rPr>
          <w:rFonts w:ascii="Garamond" w:hAnsi="Garamond"/>
        </w:rPr>
      </w:pPr>
      <w:r>
        <w:rPr>
          <w:rFonts w:ascii="Garamond" w:hAnsi="Garamond"/>
        </w:rPr>
        <w:t xml:space="preserve">Continuing the argument against this overreaction, </w:t>
      </w:r>
      <w:r w:rsidR="003C717F">
        <w:rPr>
          <w:rFonts w:ascii="Garamond" w:hAnsi="Garamond"/>
        </w:rPr>
        <w:t>no matter the demand slowdown,</w:t>
      </w:r>
      <w:r w:rsidR="008D596C">
        <w:rPr>
          <w:rFonts w:ascii="Garamond" w:hAnsi="Garamond"/>
        </w:rPr>
        <w:t xml:space="preserve"> Ulta </w:t>
      </w:r>
      <w:r w:rsidR="003C717F">
        <w:rPr>
          <w:rFonts w:ascii="Garamond" w:hAnsi="Garamond"/>
        </w:rPr>
        <w:t xml:space="preserve">will be able to </w:t>
      </w:r>
      <w:r w:rsidR="00856469">
        <w:rPr>
          <w:rFonts w:ascii="Garamond" w:hAnsi="Garamond"/>
        </w:rPr>
        <w:t>continuously grow</w:t>
      </w:r>
      <w:r w:rsidR="003C717F">
        <w:rPr>
          <w:rFonts w:ascii="Garamond" w:hAnsi="Garamond"/>
        </w:rPr>
        <w:t xml:space="preserve"> </w:t>
      </w:r>
      <w:r w:rsidR="004B16B6">
        <w:rPr>
          <w:rFonts w:ascii="Garamond" w:hAnsi="Garamond"/>
        </w:rPr>
        <w:t xml:space="preserve">for </w:t>
      </w:r>
      <w:r w:rsidR="00EF048A">
        <w:rPr>
          <w:rFonts w:ascii="Garamond" w:hAnsi="Garamond"/>
        </w:rPr>
        <w:t>all</w:t>
      </w:r>
      <w:r w:rsidR="004B16B6">
        <w:rPr>
          <w:rFonts w:ascii="Garamond" w:hAnsi="Garamond"/>
        </w:rPr>
        <w:t xml:space="preserve"> the reasons listed in the “Future Growth Opportunities” section</w:t>
      </w:r>
      <w:r w:rsidR="003B0F50">
        <w:rPr>
          <w:rFonts w:ascii="Garamond" w:hAnsi="Garamond"/>
        </w:rPr>
        <w:t>, along with</w:t>
      </w:r>
      <w:r w:rsidR="00E075C4">
        <w:rPr>
          <w:rFonts w:ascii="Garamond" w:hAnsi="Garamond"/>
        </w:rPr>
        <w:t xml:space="preserve"> </w:t>
      </w:r>
      <w:r w:rsidR="00792936">
        <w:rPr>
          <w:rFonts w:ascii="Garamond" w:hAnsi="Garamond"/>
        </w:rPr>
        <w:t>the expansion of provided brands.</w:t>
      </w:r>
      <w:r w:rsidR="00740CAD">
        <w:rPr>
          <w:rFonts w:ascii="Garamond" w:hAnsi="Garamond"/>
        </w:rPr>
        <w:t xml:space="preserve"> </w:t>
      </w:r>
      <w:r w:rsidR="003C328C">
        <w:rPr>
          <w:rFonts w:ascii="Garamond" w:hAnsi="Garamond"/>
        </w:rPr>
        <w:t xml:space="preserve">According to </w:t>
      </w:r>
      <w:r w:rsidR="0026578C">
        <w:rPr>
          <w:rFonts w:ascii="Garamond" w:hAnsi="Garamond"/>
        </w:rPr>
        <w:t>the</w:t>
      </w:r>
      <w:r w:rsidR="0046767C">
        <w:rPr>
          <w:rFonts w:ascii="Garamond" w:hAnsi="Garamond"/>
        </w:rPr>
        <w:t xml:space="preserve"> McKinsey study, </w:t>
      </w:r>
      <w:r w:rsidR="00D82CEE" w:rsidRPr="00D14C31">
        <w:rPr>
          <w:rFonts w:ascii="Garamond" w:hAnsi="Garamond"/>
        </w:rPr>
        <w:t>"42 percent of respondents to McKinsey’s 2023 survey of consumers across China, France, Germany, Italy, the United Kingdom, and the United States say they enjoy trying new brands</w:t>
      </w:r>
      <w:r w:rsidR="0046767C">
        <w:rPr>
          <w:rFonts w:ascii="Garamond" w:hAnsi="Garamond"/>
        </w:rPr>
        <w:t>.</w:t>
      </w:r>
      <w:r w:rsidR="00D82CEE" w:rsidRPr="00D14C31">
        <w:rPr>
          <w:rFonts w:ascii="Garamond" w:hAnsi="Garamond"/>
        </w:rPr>
        <w:t>"</w:t>
      </w:r>
      <w:r w:rsidR="0046767C">
        <w:rPr>
          <w:rFonts w:ascii="Garamond" w:hAnsi="Garamond"/>
        </w:rPr>
        <w:t xml:space="preserve"> </w:t>
      </w:r>
      <w:r w:rsidR="00100B32">
        <w:rPr>
          <w:rFonts w:ascii="Garamond" w:hAnsi="Garamond"/>
        </w:rPr>
        <w:t>Fortunately</w:t>
      </w:r>
      <w:r w:rsidR="008D3700">
        <w:rPr>
          <w:rFonts w:ascii="Garamond" w:hAnsi="Garamond"/>
        </w:rPr>
        <w:t>, t</w:t>
      </w:r>
      <w:r w:rsidR="00D82CEE" w:rsidRPr="00D14C31">
        <w:rPr>
          <w:rFonts w:ascii="Garamond" w:hAnsi="Garamond"/>
        </w:rPr>
        <w:t xml:space="preserve">his </w:t>
      </w:r>
      <w:r w:rsidR="00100B32" w:rsidRPr="00D14C31">
        <w:rPr>
          <w:rFonts w:ascii="Garamond" w:hAnsi="Garamond"/>
        </w:rPr>
        <w:t>year</w:t>
      </w:r>
      <w:r w:rsidR="00100B32">
        <w:rPr>
          <w:rFonts w:ascii="Garamond" w:hAnsi="Garamond"/>
        </w:rPr>
        <w:t>’s</w:t>
      </w:r>
      <w:r w:rsidR="008D3700">
        <w:rPr>
          <w:rFonts w:ascii="Garamond" w:hAnsi="Garamond"/>
        </w:rPr>
        <w:t xml:space="preserve"> </w:t>
      </w:r>
      <w:r w:rsidR="00D82CEE" w:rsidRPr="00D14C31">
        <w:rPr>
          <w:rFonts w:ascii="Garamond" w:hAnsi="Garamond"/>
        </w:rPr>
        <w:t>brand pipeline</w:t>
      </w:r>
      <w:r w:rsidR="008D3700">
        <w:rPr>
          <w:rFonts w:ascii="Garamond" w:hAnsi="Garamond"/>
        </w:rPr>
        <w:t xml:space="preserve"> for</w:t>
      </w:r>
      <w:r w:rsidR="008D596C">
        <w:rPr>
          <w:rFonts w:ascii="Garamond" w:hAnsi="Garamond"/>
        </w:rPr>
        <w:t xml:space="preserve"> Ulta </w:t>
      </w:r>
      <w:r w:rsidR="00D82CEE" w:rsidRPr="00D14C31">
        <w:rPr>
          <w:rFonts w:ascii="Garamond" w:hAnsi="Garamond"/>
        </w:rPr>
        <w:t>includes 25 new brands</w:t>
      </w:r>
      <w:r w:rsidR="00100B32">
        <w:rPr>
          <w:rFonts w:ascii="Garamond" w:hAnsi="Garamond"/>
        </w:rPr>
        <w:t>, balancing a mix between</w:t>
      </w:r>
      <w:r w:rsidR="00D82CEE" w:rsidRPr="00D14C31">
        <w:rPr>
          <w:rFonts w:ascii="Garamond" w:hAnsi="Garamond"/>
        </w:rPr>
        <w:t xml:space="preserve"> growth</w:t>
      </w:r>
      <w:r w:rsidR="00ED7CB0">
        <w:rPr>
          <w:rFonts w:ascii="Garamond" w:hAnsi="Garamond"/>
        </w:rPr>
        <w:t>-</w:t>
      </w:r>
      <w:r w:rsidR="00D82CEE" w:rsidRPr="00D14C31">
        <w:rPr>
          <w:rFonts w:ascii="Garamond" w:hAnsi="Garamond"/>
        </w:rPr>
        <w:t>driving brands like Sol de Janeiro and emerging exclusives like WYN by Serena Williams</w:t>
      </w:r>
      <w:r w:rsidR="00100B32">
        <w:rPr>
          <w:rFonts w:ascii="Garamond" w:hAnsi="Garamond"/>
        </w:rPr>
        <w:t>.</w:t>
      </w:r>
      <w:r w:rsidR="000E723E">
        <w:rPr>
          <w:rFonts w:ascii="Garamond" w:hAnsi="Garamond"/>
        </w:rPr>
        <w:t xml:space="preserve"> </w:t>
      </w:r>
      <w:r w:rsidR="00052D76">
        <w:rPr>
          <w:rFonts w:ascii="Garamond" w:hAnsi="Garamond"/>
        </w:rPr>
        <w:t>Specifically,</w:t>
      </w:r>
      <w:r w:rsidR="00CA35DE">
        <w:rPr>
          <w:rFonts w:ascii="Garamond" w:hAnsi="Garamond"/>
        </w:rPr>
        <w:t xml:space="preserve"> w</w:t>
      </w:r>
      <w:r w:rsidR="00D82CEE" w:rsidRPr="00D14C31">
        <w:rPr>
          <w:rFonts w:ascii="Garamond" w:hAnsi="Garamond"/>
        </w:rPr>
        <w:t>ithin Fragrance, the newness from existing brands and new brand launches like Kylie Jenners Cosmic drove "double</w:t>
      </w:r>
      <w:r w:rsidR="00ED7CB0">
        <w:rPr>
          <w:rFonts w:ascii="Garamond" w:hAnsi="Garamond"/>
        </w:rPr>
        <w:t>-</w:t>
      </w:r>
      <w:r w:rsidR="00D82CEE" w:rsidRPr="00D14C31">
        <w:rPr>
          <w:rFonts w:ascii="Garamond" w:hAnsi="Garamond"/>
        </w:rPr>
        <w:t>digit growth"</w:t>
      </w:r>
      <w:r w:rsidR="00F1709A">
        <w:rPr>
          <w:rFonts w:ascii="Garamond" w:hAnsi="Garamond"/>
        </w:rPr>
        <w:t xml:space="preserve"> as Paula Oyibo stated in the 2024 Q1 earnings call.</w:t>
      </w:r>
      <w:r w:rsidR="002146E5">
        <w:rPr>
          <w:rFonts w:ascii="Garamond" w:hAnsi="Garamond"/>
        </w:rPr>
        <w:t xml:space="preserve"> </w:t>
      </w:r>
      <w:r w:rsidR="00461A82">
        <w:rPr>
          <w:rFonts w:ascii="Garamond" w:hAnsi="Garamond"/>
        </w:rPr>
        <w:t>Standing alone,</w:t>
      </w:r>
      <w:r w:rsidR="008D596C">
        <w:rPr>
          <w:rFonts w:ascii="Garamond" w:hAnsi="Garamond"/>
        </w:rPr>
        <w:t xml:space="preserve"> Ulta </w:t>
      </w:r>
      <w:r w:rsidR="00CB0257">
        <w:rPr>
          <w:rFonts w:ascii="Garamond" w:hAnsi="Garamond"/>
        </w:rPr>
        <w:t>has clear avenues for growth</w:t>
      </w:r>
      <w:r w:rsidR="00321BB4">
        <w:rPr>
          <w:rFonts w:ascii="Garamond" w:hAnsi="Garamond"/>
        </w:rPr>
        <w:t xml:space="preserve">, these avenues become even more prosperous </w:t>
      </w:r>
      <w:r w:rsidR="00DF6157">
        <w:rPr>
          <w:rFonts w:ascii="Garamond" w:hAnsi="Garamond"/>
        </w:rPr>
        <w:t>when analyzed in the context of the overall industry, which we will now explore.</w:t>
      </w:r>
    </w:p>
    <w:p w14:paraId="3A58C16E" w14:textId="77777777" w:rsidR="00354D6B" w:rsidRDefault="00354D6B" w:rsidP="00354D6B">
      <w:pPr>
        <w:rPr>
          <w:rFonts w:ascii="Garamond" w:hAnsi="Garamond"/>
          <w:b/>
          <w:bCs/>
          <w:color w:val="E97132" w:themeColor="accent2"/>
          <w:sz w:val="28"/>
          <w:szCs w:val="28"/>
        </w:rPr>
      </w:pPr>
      <w:r>
        <w:rPr>
          <w:rFonts w:ascii="Garamond" w:hAnsi="Garamond"/>
          <w:b/>
          <w:bCs/>
          <w:color w:val="E97132" w:themeColor="accent2"/>
          <w:sz w:val="28"/>
          <w:szCs w:val="28"/>
        </w:rPr>
        <w:t>Industry Breakdown</w:t>
      </w:r>
    </w:p>
    <w:p w14:paraId="6F9721FE" w14:textId="244C763B" w:rsidR="00354D6B" w:rsidRPr="00D14C31" w:rsidRDefault="00354D6B" w:rsidP="00354D6B">
      <w:pPr>
        <w:rPr>
          <w:rFonts w:ascii="Garamond" w:hAnsi="Garamond"/>
        </w:rPr>
      </w:pPr>
      <w:r>
        <w:rPr>
          <w:rFonts w:ascii="Garamond" w:hAnsi="Garamond"/>
        </w:rPr>
        <w:t>In 2022, the b</w:t>
      </w:r>
      <w:r w:rsidRPr="00D14C31">
        <w:rPr>
          <w:rFonts w:ascii="Garamond" w:hAnsi="Garamond"/>
        </w:rPr>
        <w:t>eauty market</w:t>
      </w:r>
      <w:r>
        <w:rPr>
          <w:rFonts w:ascii="Garamond" w:hAnsi="Garamond"/>
        </w:rPr>
        <w:t xml:space="preserve"> in which</w:t>
      </w:r>
      <w:r w:rsidR="008D596C">
        <w:rPr>
          <w:rFonts w:ascii="Garamond" w:hAnsi="Garamond"/>
        </w:rPr>
        <w:t xml:space="preserve"> Ulta </w:t>
      </w:r>
      <w:r>
        <w:rPr>
          <w:rFonts w:ascii="Garamond" w:hAnsi="Garamond"/>
        </w:rPr>
        <w:t>operates,</w:t>
      </w:r>
      <w:r w:rsidRPr="00D14C31">
        <w:rPr>
          <w:rFonts w:ascii="Garamond" w:hAnsi="Garamond"/>
        </w:rPr>
        <w:t xml:space="preserve"> </w:t>
      </w:r>
      <w:r>
        <w:rPr>
          <w:rFonts w:ascii="Garamond" w:hAnsi="Garamond"/>
        </w:rPr>
        <w:t xml:space="preserve">which is </w:t>
      </w:r>
      <w:r w:rsidRPr="00D14C31">
        <w:rPr>
          <w:rFonts w:ascii="Garamond" w:hAnsi="Garamond"/>
        </w:rPr>
        <w:t>defined as skincare, fragrance, makeup, and haircare</w:t>
      </w:r>
      <w:r>
        <w:rPr>
          <w:rFonts w:ascii="Garamond" w:hAnsi="Garamond"/>
        </w:rPr>
        <w:t>,</w:t>
      </w:r>
      <w:r w:rsidRPr="00D14C31">
        <w:rPr>
          <w:rFonts w:ascii="Garamond" w:hAnsi="Garamond"/>
        </w:rPr>
        <w:t xml:space="preserve"> made $430 billion in revenue globally and $112</w:t>
      </w:r>
      <w:r>
        <w:rPr>
          <w:rFonts w:ascii="Garamond" w:hAnsi="Garamond"/>
        </w:rPr>
        <w:t xml:space="preserve"> billion</w:t>
      </w:r>
      <w:r w:rsidRPr="00D14C31">
        <w:rPr>
          <w:rFonts w:ascii="Garamond" w:hAnsi="Garamond"/>
        </w:rPr>
        <w:t xml:space="preserve"> in the U.S. Beauty Products Market</w:t>
      </w:r>
      <w:r>
        <w:rPr>
          <w:rFonts w:ascii="Garamond" w:hAnsi="Garamond"/>
        </w:rPr>
        <w:t xml:space="preserve">.  By 2027, global revenue is expected to reach $580 billion, growing at 6% per year. Per the charts below from Ulta’s 2022 Investor Relations Presentation, the majority of said revenue does not stream from one beauty product category, nor is the industry dominated by one distribution channel. </w:t>
      </w:r>
    </w:p>
    <w:p w14:paraId="140009BB" w14:textId="77777777" w:rsidR="00354D6B" w:rsidRDefault="00354D6B" w:rsidP="00354D6B">
      <w:pPr>
        <w:jc w:val="center"/>
        <w:rPr>
          <w:rFonts w:ascii="Garamond" w:hAnsi="Garamond"/>
        </w:rPr>
      </w:pPr>
      <w:r w:rsidRPr="00D14C31">
        <w:rPr>
          <w:rFonts w:ascii="Garamond" w:hAnsi="Garamond"/>
          <w:noProof/>
        </w:rPr>
        <w:lastRenderedPageBreak/>
        <w:drawing>
          <wp:inline distT="0" distB="0" distL="0" distR="0" wp14:anchorId="126AB06D" wp14:editId="21FEFC13">
            <wp:extent cx="5468253" cy="2599509"/>
            <wp:effectExtent l="0" t="0" r="0" b="1270"/>
            <wp:docPr id="1898404623" name="Picture 5" descr="A diagram of a person's heal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04623" name="Picture 5" descr="A diagram of a person's health&#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8253" cy="2599509"/>
                    </a:xfrm>
                    <a:prstGeom prst="rect">
                      <a:avLst/>
                    </a:prstGeom>
                    <a:noFill/>
                    <a:ln>
                      <a:noFill/>
                    </a:ln>
                  </pic:spPr>
                </pic:pic>
              </a:graphicData>
            </a:graphic>
          </wp:inline>
        </w:drawing>
      </w:r>
    </w:p>
    <w:p w14:paraId="60821988" w14:textId="27721F92" w:rsidR="00354D6B" w:rsidRPr="00170114" w:rsidRDefault="00354D6B" w:rsidP="00354D6B">
      <w:pPr>
        <w:jc w:val="center"/>
        <w:rPr>
          <w:rFonts w:ascii="Garamond" w:hAnsi="Garamond"/>
          <w:sz w:val="18"/>
          <w:szCs w:val="18"/>
        </w:rPr>
      </w:pPr>
      <w:r w:rsidRPr="00170114">
        <w:rPr>
          <w:rFonts w:ascii="Garamond" w:hAnsi="Garamond"/>
          <w:sz w:val="18"/>
          <w:szCs w:val="18"/>
        </w:rPr>
        <w:t xml:space="preserve">Figure </w:t>
      </w:r>
      <w:r w:rsidR="00C26783">
        <w:rPr>
          <w:rFonts w:ascii="Garamond" w:hAnsi="Garamond"/>
          <w:sz w:val="18"/>
          <w:szCs w:val="18"/>
        </w:rPr>
        <w:t>10</w:t>
      </w:r>
    </w:p>
    <w:p w14:paraId="7A1A64FF" w14:textId="42E4C4B0" w:rsidR="00354D6B" w:rsidRDefault="00354D6B" w:rsidP="00354D6B">
      <w:pPr>
        <w:rPr>
          <w:rFonts w:ascii="Garamond" w:hAnsi="Garamond"/>
        </w:rPr>
      </w:pPr>
      <w:r>
        <w:rPr>
          <w:rFonts w:ascii="Garamond" w:hAnsi="Garamond"/>
        </w:rPr>
        <w:t>This fragmentation of product and distribution channel revenue highlights the variety of opportunities to reach customers and remain profitable within the Beauty Industry.</w:t>
      </w:r>
      <w:r w:rsidR="008D596C">
        <w:rPr>
          <w:rFonts w:ascii="Garamond" w:hAnsi="Garamond"/>
        </w:rPr>
        <w:t xml:space="preserve"> Ulta </w:t>
      </w:r>
      <w:r>
        <w:rPr>
          <w:rFonts w:ascii="Garamond" w:hAnsi="Garamond"/>
        </w:rPr>
        <w:t>has</w:t>
      </w:r>
      <w:r w:rsidR="00ED6C03">
        <w:rPr>
          <w:rFonts w:ascii="Garamond" w:hAnsi="Garamond"/>
        </w:rPr>
        <w:t xml:space="preserve"> </w:t>
      </w:r>
      <w:r w:rsidR="00384AC7">
        <w:rPr>
          <w:rFonts w:ascii="Garamond" w:hAnsi="Garamond"/>
        </w:rPr>
        <w:t>specifically</w:t>
      </w:r>
      <w:r>
        <w:rPr>
          <w:rFonts w:ascii="Garamond" w:hAnsi="Garamond"/>
        </w:rPr>
        <w:t xml:space="preserve"> taken advantage of such opportunities by providing each beauty product within its stores, developing </w:t>
      </w:r>
      <w:r w:rsidR="00384AC7">
        <w:rPr>
          <w:rFonts w:ascii="Garamond" w:hAnsi="Garamond"/>
        </w:rPr>
        <w:t xml:space="preserve">the previously mentioned </w:t>
      </w:r>
      <w:r w:rsidR="00300350">
        <w:rPr>
          <w:rFonts w:ascii="Garamond" w:hAnsi="Garamond"/>
        </w:rPr>
        <w:t>E-commerce</w:t>
      </w:r>
      <w:r>
        <w:rPr>
          <w:rFonts w:ascii="Garamond" w:hAnsi="Garamond"/>
        </w:rPr>
        <w:t xml:space="preserve"> channel, and partnering with Mass Merchandisers like Target to increase exposure to customers. Each of these strategic alignments positio</w:t>
      </w:r>
      <w:r w:rsidR="006D5C8B">
        <w:rPr>
          <w:rFonts w:ascii="Garamond" w:hAnsi="Garamond"/>
        </w:rPr>
        <w:t>n</w:t>
      </w:r>
      <w:r w:rsidR="008D596C">
        <w:rPr>
          <w:rFonts w:ascii="Garamond" w:hAnsi="Garamond"/>
        </w:rPr>
        <w:t xml:space="preserve"> Ulta </w:t>
      </w:r>
      <w:r w:rsidR="00384AC7">
        <w:rPr>
          <w:rFonts w:ascii="Garamond" w:hAnsi="Garamond"/>
        </w:rPr>
        <w:t xml:space="preserve">extremely </w:t>
      </w:r>
      <w:r>
        <w:rPr>
          <w:rFonts w:ascii="Garamond" w:hAnsi="Garamond"/>
        </w:rPr>
        <w:t>well for generous revenue gains as a recent study by McKinsey &amp; Company predicts growth within the four main beauty product categories.</w:t>
      </w:r>
    </w:p>
    <w:p w14:paraId="61A18EBC" w14:textId="77777777" w:rsidR="00354D6B" w:rsidRDefault="00354D6B" w:rsidP="00354D6B">
      <w:pPr>
        <w:spacing w:line="240" w:lineRule="auto"/>
        <w:jc w:val="center"/>
        <w:rPr>
          <w:rFonts w:ascii="Garamond" w:hAnsi="Garamond"/>
        </w:rPr>
      </w:pPr>
      <w:r w:rsidRPr="00D14C31">
        <w:rPr>
          <w:rFonts w:ascii="Garamond" w:hAnsi="Garamond"/>
          <w:noProof/>
        </w:rPr>
        <w:drawing>
          <wp:inline distT="0" distB="0" distL="0" distR="0" wp14:anchorId="4E191A67" wp14:editId="274FB771">
            <wp:extent cx="5008418" cy="3395565"/>
            <wp:effectExtent l="0" t="0" r="1905" b="0"/>
            <wp:docPr id="1860362301" name="Picture 4" descr="A graph of sales and beau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2301" name="Picture 4" descr="A graph of sales and beauty&#10;&#10;Description automatically generated with medium confidence"/>
                    <pic:cNvPicPr>
                      <a:picLocks noChangeAspect="1" noChangeArrowheads="1"/>
                    </pic:cNvPicPr>
                  </pic:nvPicPr>
                  <pic:blipFill rotWithShape="1">
                    <a:blip r:embed="rId16">
                      <a:extLst>
                        <a:ext uri="{28A0092B-C50C-407E-A947-70E740481C1C}">
                          <a14:useLocalDpi xmlns:a14="http://schemas.microsoft.com/office/drawing/2010/main" val="0"/>
                        </a:ext>
                      </a:extLst>
                    </a:blip>
                    <a:srcRect t="2195" b="2422"/>
                    <a:stretch/>
                  </pic:blipFill>
                  <pic:spPr bwMode="auto">
                    <a:xfrm>
                      <a:off x="0" y="0"/>
                      <a:ext cx="5024365" cy="3406377"/>
                    </a:xfrm>
                    <a:prstGeom prst="rect">
                      <a:avLst/>
                    </a:prstGeom>
                    <a:noFill/>
                    <a:ln>
                      <a:noFill/>
                    </a:ln>
                    <a:extLst>
                      <a:ext uri="{53640926-AAD7-44D8-BBD7-CCE9431645EC}">
                        <a14:shadowObscured xmlns:a14="http://schemas.microsoft.com/office/drawing/2010/main"/>
                      </a:ext>
                    </a:extLst>
                  </pic:spPr>
                </pic:pic>
              </a:graphicData>
            </a:graphic>
          </wp:inline>
        </w:drawing>
      </w:r>
    </w:p>
    <w:p w14:paraId="0DEDA521" w14:textId="785B789D" w:rsidR="00354D6B" w:rsidRPr="00170114" w:rsidRDefault="00354D6B" w:rsidP="00354D6B">
      <w:pPr>
        <w:spacing w:line="240" w:lineRule="auto"/>
        <w:jc w:val="center"/>
        <w:rPr>
          <w:rFonts w:ascii="Garamond" w:hAnsi="Garamond"/>
        </w:rPr>
      </w:pPr>
      <w:r w:rsidRPr="00170114">
        <w:rPr>
          <w:rFonts w:ascii="Garamond" w:hAnsi="Garamond"/>
          <w:sz w:val="18"/>
          <w:szCs w:val="18"/>
        </w:rPr>
        <w:t xml:space="preserve">Figure </w:t>
      </w:r>
      <w:r w:rsidR="00C26ABA">
        <w:rPr>
          <w:rFonts w:ascii="Garamond" w:hAnsi="Garamond"/>
          <w:sz w:val="18"/>
          <w:szCs w:val="18"/>
        </w:rPr>
        <w:t>1</w:t>
      </w:r>
      <w:r w:rsidR="00C26783">
        <w:rPr>
          <w:rFonts w:ascii="Garamond" w:hAnsi="Garamond"/>
          <w:sz w:val="18"/>
          <w:szCs w:val="18"/>
        </w:rPr>
        <w:t>1</w:t>
      </w:r>
    </w:p>
    <w:p w14:paraId="70E4ACDD" w14:textId="26FE9144" w:rsidR="00354D6B" w:rsidRDefault="00354D6B" w:rsidP="00354D6B">
      <w:pPr>
        <w:rPr>
          <w:rFonts w:ascii="Garamond" w:hAnsi="Garamond"/>
        </w:rPr>
      </w:pPr>
      <w:r>
        <w:rPr>
          <w:rFonts w:ascii="Garamond" w:hAnsi="Garamond"/>
        </w:rPr>
        <w:t xml:space="preserve">Along with the prediction of the growth within Fragrance, Makeup, Hair care, and Skin care, McKinsey noted that </w:t>
      </w:r>
      <w:r w:rsidRPr="00D14C31">
        <w:rPr>
          <w:rFonts w:ascii="Garamond" w:hAnsi="Garamond"/>
        </w:rPr>
        <w:t>"</w:t>
      </w:r>
      <w:r w:rsidR="00300350">
        <w:rPr>
          <w:rFonts w:ascii="Garamond" w:hAnsi="Garamond"/>
        </w:rPr>
        <w:t>E-commerce</w:t>
      </w:r>
      <w:r w:rsidRPr="00D14C31">
        <w:rPr>
          <w:rFonts w:ascii="Garamond" w:hAnsi="Garamond"/>
        </w:rPr>
        <w:t xml:space="preserve"> in beauty nearly quadrupled between 2015 and 2022, and its share now exceeds 20 percent, with significant runway ahead."</w:t>
      </w:r>
      <w:r>
        <w:rPr>
          <w:rFonts w:ascii="Garamond" w:hAnsi="Garamond"/>
        </w:rPr>
        <w:t xml:space="preserve"> T</w:t>
      </w:r>
      <w:r w:rsidRPr="00D14C31">
        <w:rPr>
          <w:rFonts w:ascii="Garamond" w:hAnsi="Garamond"/>
        </w:rPr>
        <w:t>h</w:t>
      </w:r>
      <w:r>
        <w:rPr>
          <w:rFonts w:ascii="Garamond" w:hAnsi="Garamond"/>
        </w:rPr>
        <w:t xml:space="preserve">is </w:t>
      </w:r>
      <w:r w:rsidRPr="00D14C31">
        <w:rPr>
          <w:rFonts w:ascii="Garamond" w:hAnsi="Garamond"/>
        </w:rPr>
        <w:t xml:space="preserve">expansion of </w:t>
      </w:r>
      <w:r w:rsidR="00300350">
        <w:rPr>
          <w:rFonts w:ascii="Garamond" w:hAnsi="Garamond"/>
        </w:rPr>
        <w:t>E-commerce</w:t>
      </w:r>
      <w:r w:rsidRPr="00D14C31">
        <w:rPr>
          <w:rFonts w:ascii="Garamond" w:hAnsi="Garamond"/>
        </w:rPr>
        <w:t xml:space="preserve"> within the industry a</w:t>
      </w:r>
      <w:r>
        <w:rPr>
          <w:rFonts w:ascii="Garamond" w:hAnsi="Garamond"/>
        </w:rPr>
        <w:t xml:space="preserve">long with a growing </w:t>
      </w:r>
      <w:r w:rsidRPr="00D14C31">
        <w:rPr>
          <w:rFonts w:ascii="Garamond" w:hAnsi="Garamond"/>
        </w:rPr>
        <w:t>consumer preference for omni-channel shopping creates a large growth opportunity for industry participants</w:t>
      </w:r>
      <w:r>
        <w:rPr>
          <w:rFonts w:ascii="Garamond" w:hAnsi="Garamond"/>
        </w:rPr>
        <w:t>,</w:t>
      </w:r>
      <w:r w:rsidR="00E7508D">
        <w:rPr>
          <w:rFonts w:ascii="Garamond" w:hAnsi="Garamond"/>
        </w:rPr>
        <w:t xml:space="preserve"> with a particular advantage to</w:t>
      </w:r>
      <w:r w:rsidR="008D596C">
        <w:rPr>
          <w:rFonts w:ascii="Garamond" w:hAnsi="Garamond"/>
        </w:rPr>
        <w:t xml:space="preserve"> Ulta </w:t>
      </w:r>
      <w:r w:rsidR="00E7508D">
        <w:rPr>
          <w:rFonts w:ascii="Garamond" w:hAnsi="Garamond"/>
        </w:rPr>
        <w:t xml:space="preserve">as they have </w:t>
      </w:r>
      <w:r w:rsidR="009B5622">
        <w:rPr>
          <w:rFonts w:ascii="Garamond" w:hAnsi="Garamond"/>
        </w:rPr>
        <w:t>already established a highly efficient</w:t>
      </w:r>
      <w:r w:rsidR="00A331B6">
        <w:rPr>
          <w:rFonts w:ascii="Garamond" w:hAnsi="Garamond"/>
        </w:rPr>
        <w:t xml:space="preserve"> digital</w:t>
      </w:r>
      <w:r w:rsidR="009B5622">
        <w:rPr>
          <w:rFonts w:ascii="Garamond" w:hAnsi="Garamond"/>
        </w:rPr>
        <w:t xml:space="preserve"> supply chain </w:t>
      </w:r>
      <w:r w:rsidR="00A331B6">
        <w:rPr>
          <w:rFonts w:ascii="Garamond" w:hAnsi="Garamond"/>
        </w:rPr>
        <w:t>paired with a</w:t>
      </w:r>
      <w:r w:rsidR="00D8594C">
        <w:rPr>
          <w:rFonts w:ascii="Garamond" w:hAnsi="Garamond"/>
        </w:rPr>
        <w:t xml:space="preserve">n upgraded </w:t>
      </w:r>
      <w:r w:rsidR="004F4408">
        <w:rPr>
          <w:rFonts w:ascii="Garamond" w:hAnsi="Garamond"/>
        </w:rPr>
        <w:t>digital app</w:t>
      </w:r>
      <w:r>
        <w:rPr>
          <w:rFonts w:ascii="Garamond" w:hAnsi="Garamond"/>
        </w:rPr>
        <w:t>.</w:t>
      </w:r>
    </w:p>
    <w:p w14:paraId="0FC89E3D" w14:textId="77777777" w:rsidR="00354D6B" w:rsidRDefault="00354D6B" w:rsidP="00354D6B">
      <w:pPr>
        <w:jc w:val="center"/>
        <w:rPr>
          <w:rFonts w:ascii="Garamond" w:hAnsi="Garamond"/>
        </w:rPr>
      </w:pPr>
      <w:r w:rsidRPr="00D14C31">
        <w:rPr>
          <w:rFonts w:ascii="Garamond" w:hAnsi="Garamond"/>
          <w:noProof/>
        </w:rPr>
        <w:lastRenderedPageBreak/>
        <w:drawing>
          <wp:inline distT="0" distB="0" distL="0" distR="0" wp14:anchorId="65547914" wp14:editId="74B5F2F7">
            <wp:extent cx="5268595" cy="3553097"/>
            <wp:effectExtent l="0" t="0" r="1905" b="3175"/>
            <wp:docPr id="1480199878" name="Picture 3" descr="A graph of sales and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99878" name="Picture 3" descr="A graph of sales and sales&#10;&#10;Description automatically generated with medium confidence"/>
                    <pic:cNvPicPr>
                      <a:picLocks noChangeAspect="1" noChangeArrowheads="1"/>
                    </pic:cNvPicPr>
                  </pic:nvPicPr>
                  <pic:blipFill rotWithShape="1">
                    <a:blip r:embed="rId17">
                      <a:extLst>
                        <a:ext uri="{28A0092B-C50C-407E-A947-70E740481C1C}">
                          <a14:useLocalDpi xmlns:a14="http://schemas.microsoft.com/office/drawing/2010/main" val="0"/>
                        </a:ext>
                      </a:extLst>
                    </a:blip>
                    <a:srcRect b="2498"/>
                    <a:stretch/>
                  </pic:blipFill>
                  <pic:spPr bwMode="auto">
                    <a:xfrm>
                      <a:off x="0" y="0"/>
                      <a:ext cx="5478473" cy="3694637"/>
                    </a:xfrm>
                    <a:prstGeom prst="rect">
                      <a:avLst/>
                    </a:prstGeom>
                    <a:noFill/>
                    <a:ln>
                      <a:noFill/>
                    </a:ln>
                    <a:extLst>
                      <a:ext uri="{53640926-AAD7-44D8-BBD7-CCE9431645EC}">
                        <a14:shadowObscured xmlns:a14="http://schemas.microsoft.com/office/drawing/2010/main"/>
                      </a:ext>
                    </a:extLst>
                  </pic:spPr>
                </pic:pic>
              </a:graphicData>
            </a:graphic>
          </wp:inline>
        </w:drawing>
      </w:r>
    </w:p>
    <w:p w14:paraId="1E6B38B1" w14:textId="73A2EF55" w:rsidR="00354D6B" w:rsidRDefault="00354D6B" w:rsidP="00354D6B">
      <w:pPr>
        <w:jc w:val="center"/>
        <w:rPr>
          <w:rFonts w:ascii="Garamond" w:hAnsi="Garamond"/>
          <w:sz w:val="18"/>
          <w:szCs w:val="18"/>
        </w:rPr>
      </w:pPr>
      <w:r w:rsidRPr="00170114">
        <w:rPr>
          <w:rFonts w:ascii="Garamond" w:hAnsi="Garamond"/>
          <w:sz w:val="18"/>
          <w:szCs w:val="18"/>
        </w:rPr>
        <w:t xml:space="preserve">Figure </w:t>
      </w:r>
      <w:r w:rsidR="00A5518F">
        <w:rPr>
          <w:rFonts w:ascii="Garamond" w:hAnsi="Garamond"/>
          <w:sz w:val="18"/>
          <w:szCs w:val="18"/>
        </w:rPr>
        <w:t>1</w:t>
      </w:r>
      <w:r w:rsidR="00C26783">
        <w:rPr>
          <w:rFonts w:ascii="Garamond" w:hAnsi="Garamond"/>
          <w:sz w:val="18"/>
          <w:szCs w:val="18"/>
        </w:rPr>
        <w:t>2</w:t>
      </w:r>
    </w:p>
    <w:p w14:paraId="51A9873C" w14:textId="495AA653" w:rsidR="00B512EB" w:rsidRDefault="005635A0" w:rsidP="002E6E31">
      <w:pPr>
        <w:rPr>
          <w:rFonts w:ascii="Garamond" w:hAnsi="Garamond"/>
          <w:b/>
          <w:bCs/>
        </w:rPr>
      </w:pPr>
      <w:r>
        <w:rPr>
          <w:rFonts w:ascii="Garamond" w:hAnsi="Garamond"/>
          <w:b/>
          <w:bCs/>
        </w:rPr>
        <w:t>Competitive Landscape</w:t>
      </w:r>
    </w:p>
    <w:p w14:paraId="3CA56A2C" w14:textId="4AD61847" w:rsidR="00376087" w:rsidRDefault="00030130" w:rsidP="003423FC">
      <w:pPr>
        <w:rPr>
          <w:rFonts w:ascii="Garamond" w:hAnsi="Garamond"/>
        </w:rPr>
      </w:pPr>
      <w:r>
        <w:rPr>
          <w:rFonts w:ascii="Garamond" w:hAnsi="Garamond"/>
        </w:rPr>
        <w:t>Within the Beauty industry, Ulta’s main</w:t>
      </w:r>
      <w:r w:rsidR="0064010C" w:rsidRPr="00B512EB">
        <w:rPr>
          <w:rFonts w:ascii="Garamond" w:hAnsi="Garamond"/>
        </w:rPr>
        <w:t xml:space="preserve"> competitors are </w:t>
      </w:r>
      <w:r>
        <w:rPr>
          <w:rFonts w:ascii="Garamond" w:hAnsi="Garamond"/>
        </w:rPr>
        <w:t>S</w:t>
      </w:r>
      <w:r w:rsidR="0064010C" w:rsidRPr="00B512EB">
        <w:rPr>
          <w:rFonts w:ascii="Garamond" w:hAnsi="Garamond"/>
        </w:rPr>
        <w:t xml:space="preserve">ephora, </w:t>
      </w:r>
      <w:r>
        <w:rPr>
          <w:rFonts w:ascii="Garamond" w:hAnsi="Garamond"/>
        </w:rPr>
        <w:t>A</w:t>
      </w:r>
      <w:r w:rsidR="00213AEA" w:rsidRPr="00B512EB">
        <w:rPr>
          <w:rFonts w:ascii="Garamond" w:hAnsi="Garamond"/>
        </w:rPr>
        <w:t xml:space="preserve">mazon, </w:t>
      </w:r>
      <w:r>
        <w:rPr>
          <w:rFonts w:ascii="Garamond" w:hAnsi="Garamond"/>
        </w:rPr>
        <w:t>E</w:t>
      </w:r>
      <w:r w:rsidR="000620BA" w:rsidRPr="00B512EB">
        <w:rPr>
          <w:rFonts w:ascii="Garamond" w:hAnsi="Garamond"/>
        </w:rPr>
        <w:t xml:space="preserve">stee </w:t>
      </w:r>
      <w:r>
        <w:rPr>
          <w:rFonts w:ascii="Garamond" w:hAnsi="Garamond"/>
        </w:rPr>
        <w:t>L</w:t>
      </w:r>
      <w:r w:rsidR="000620BA" w:rsidRPr="00B512EB">
        <w:rPr>
          <w:rFonts w:ascii="Garamond" w:hAnsi="Garamond"/>
        </w:rPr>
        <w:t>auder,</w:t>
      </w:r>
      <w:r w:rsidR="003423FC">
        <w:rPr>
          <w:rFonts w:ascii="Garamond" w:hAnsi="Garamond"/>
        </w:rPr>
        <w:t xml:space="preserve"> and</w:t>
      </w:r>
      <w:r>
        <w:rPr>
          <w:rFonts w:ascii="Garamond" w:hAnsi="Garamond"/>
        </w:rPr>
        <w:t xml:space="preserve"> CVS</w:t>
      </w:r>
      <w:r w:rsidR="003423FC">
        <w:rPr>
          <w:rFonts w:ascii="Garamond" w:hAnsi="Garamond"/>
        </w:rPr>
        <w:t>,</w:t>
      </w:r>
      <w:r>
        <w:rPr>
          <w:rFonts w:ascii="Garamond" w:hAnsi="Garamond"/>
        </w:rPr>
        <w:t xml:space="preserve"> </w:t>
      </w:r>
      <w:r w:rsidR="003423FC">
        <w:rPr>
          <w:rFonts w:ascii="Garamond" w:hAnsi="Garamond"/>
        </w:rPr>
        <w:t>with the less competitive Dick Sporting Goods and Bath and Body Works. Within this space</w:t>
      </w:r>
      <w:r w:rsidR="00ED7CB0">
        <w:rPr>
          <w:rFonts w:ascii="Garamond" w:hAnsi="Garamond"/>
        </w:rPr>
        <w:t>,</w:t>
      </w:r>
      <w:r w:rsidR="003423FC">
        <w:rPr>
          <w:rFonts w:ascii="Garamond" w:hAnsi="Garamond"/>
        </w:rPr>
        <w:t xml:space="preserve"> </w:t>
      </w:r>
      <w:r w:rsidR="00376087" w:rsidRPr="003423FC">
        <w:rPr>
          <w:rFonts w:ascii="Garamond" w:hAnsi="Garamond"/>
        </w:rPr>
        <w:t xml:space="preserve">Sephora and </w:t>
      </w:r>
      <w:r w:rsidR="003423FC">
        <w:rPr>
          <w:rFonts w:ascii="Garamond" w:hAnsi="Garamond"/>
        </w:rPr>
        <w:t>CVS</w:t>
      </w:r>
      <w:r w:rsidR="00376087" w:rsidRPr="003423FC">
        <w:rPr>
          <w:rFonts w:ascii="Garamond" w:hAnsi="Garamond"/>
        </w:rPr>
        <w:t xml:space="preserve"> are</w:t>
      </w:r>
      <w:r w:rsidR="003423FC">
        <w:rPr>
          <w:rFonts w:ascii="Garamond" w:hAnsi="Garamond"/>
        </w:rPr>
        <w:t xml:space="preserve"> the</w:t>
      </w:r>
      <w:r w:rsidR="00376087" w:rsidRPr="003423FC">
        <w:rPr>
          <w:rFonts w:ascii="Garamond" w:hAnsi="Garamond"/>
        </w:rPr>
        <w:t xml:space="preserve"> major in</w:t>
      </w:r>
      <w:r w:rsidR="00ED7CB0">
        <w:rPr>
          <w:rFonts w:ascii="Garamond" w:hAnsi="Garamond"/>
        </w:rPr>
        <w:t>-</w:t>
      </w:r>
      <w:r w:rsidR="00376087" w:rsidRPr="003423FC">
        <w:rPr>
          <w:rFonts w:ascii="Garamond" w:hAnsi="Garamond"/>
        </w:rPr>
        <w:t xml:space="preserve">store competitors while </w:t>
      </w:r>
      <w:r w:rsidR="003423FC">
        <w:rPr>
          <w:rFonts w:ascii="Garamond" w:hAnsi="Garamond"/>
        </w:rPr>
        <w:t>A</w:t>
      </w:r>
      <w:r w:rsidR="00376087" w:rsidRPr="003423FC">
        <w:rPr>
          <w:rFonts w:ascii="Garamond" w:hAnsi="Garamond"/>
        </w:rPr>
        <w:t xml:space="preserve">mazon and </w:t>
      </w:r>
      <w:r w:rsidR="003423FC">
        <w:rPr>
          <w:rFonts w:ascii="Garamond" w:hAnsi="Garamond"/>
        </w:rPr>
        <w:t>E</w:t>
      </w:r>
      <w:r w:rsidR="00376087" w:rsidRPr="003423FC">
        <w:rPr>
          <w:rFonts w:ascii="Garamond" w:hAnsi="Garamond"/>
        </w:rPr>
        <w:t xml:space="preserve">stee </w:t>
      </w:r>
      <w:r w:rsidR="003423FC">
        <w:rPr>
          <w:rFonts w:ascii="Garamond" w:hAnsi="Garamond"/>
        </w:rPr>
        <w:t>L</w:t>
      </w:r>
      <w:r w:rsidR="00376087" w:rsidRPr="003423FC">
        <w:rPr>
          <w:rFonts w:ascii="Garamond" w:hAnsi="Garamond"/>
        </w:rPr>
        <w:t xml:space="preserve">auder </w:t>
      </w:r>
      <w:r w:rsidR="001C3E14" w:rsidRPr="003423FC">
        <w:rPr>
          <w:rFonts w:ascii="Garamond" w:hAnsi="Garamond"/>
        </w:rPr>
        <w:t>compete</w:t>
      </w:r>
      <w:r w:rsidR="003423FC">
        <w:rPr>
          <w:rFonts w:ascii="Garamond" w:hAnsi="Garamond"/>
        </w:rPr>
        <w:t xml:space="preserve"> mainly</w:t>
      </w:r>
      <w:r w:rsidR="001C3E14" w:rsidRPr="003423FC">
        <w:rPr>
          <w:rFonts w:ascii="Garamond" w:hAnsi="Garamond"/>
        </w:rPr>
        <w:t xml:space="preserve"> on </w:t>
      </w:r>
      <w:r w:rsidR="00300350">
        <w:rPr>
          <w:rFonts w:ascii="Garamond" w:hAnsi="Garamond"/>
        </w:rPr>
        <w:t>E-commerce</w:t>
      </w:r>
      <w:r w:rsidR="003423FC">
        <w:rPr>
          <w:rFonts w:ascii="Garamond" w:hAnsi="Garamond"/>
        </w:rPr>
        <w:t>.</w:t>
      </w:r>
      <w:r w:rsidR="00A26B2F">
        <w:rPr>
          <w:rFonts w:ascii="Garamond" w:hAnsi="Garamond"/>
        </w:rPr>
        <w:t xml:space="preserve"> Each of these companies </w:t>
      </w:r>
      <w:r w:rsidR="00ED7CB0">
        <w:rPr>
          <w:rFonts w:ascii="Garamond" w:hAnsi="Garamond"/>
        </w:rPr>
        <w:t>was</w:t>
      </w:r>
      <w:r w:rsidR="00A26B2F">
        <w:rPr>
          <w:rFonts w:ascii="Garamond" w:hAnsi="Garamond"/>
        </w:rPr>
        <w:t xml:space="preserve"> previously compared to</w:t>
      </w:r>
      <w:r w:rsidR="008D596C">
        <w:rPr>
          <w:rFonts w:ascii="Garamond" w:hAnsi="Garamond"/>
        </w:rPr>
        <w:t xml:space="preserve"> Ulta </w:t>
      </w:r>
      <w:r w:rsidR="00A26B2F">
        <w:rPr>
          <w:rFonts w:ascii="Garamond" w:hAnsi="Garamond"/>
        </w:rPr>
        <w:t>in the Quantitative Analysis sections</w:t>
      </w:r>
      <w:r w:rsidR="00EB110E">
        <w:rPr>
          <w:rFonts w:ascii="Garamond" w:hAnsi="Garamond"/>
        </w:rPr>
        <w:t xml:space="preserve">, </w:t>
      </w:r>
      <w:r w:rsidR="002665A6">
        <w:rPr>
          <w:rFonts w:ascii="Garamond" w:hAnsi="Garamond"/>
        </w:rPr>
        <w:t>during</w:t>
      </w:r>
      <w:r w:rsidR="00EB110E">
        <w:rPr>
          <w:rFonts w:ascii="Garamond" w:hAnsi="Garamond"/>
        </w:rPr>
        <w:t xml:space="preserve"> which</w:t>
      </w:r>
      <w:r w:rsidR="008D596C">
        <w:rPr>
          <w:rFonts w:ascii="Garamond" w:hAnsi="Garamond"/>
        </w:rPr>
        <w:t xml:space="preserve"> Ulta </w:t>
      </w:r>
      <w:r w:rsidR="00EB110E">
        <w:rPr>
          <w:rFonts w:ascii="Garamond" w:hAnsi="Garamond"/>
        </w:rPr>
        <w:t xml:space="preserve">was </w:t>
      </w:r>
      <w:r w:rsidR="009877FB">
        <w:rPr>
          <w:rFonts w:ascii="Garamond" w:hAnsi="Garamond"/>
        </w:rPr>
        <w:t>proven</w:t>
      </w:r>
      <w:r w:rsidR="00EB110E">
        <w:rPr>
          <w:rFonts w:ascii="Garamond" w:hAnsi="Garamond"/>
        </w:rPr>
        <w:t xml:space="preserve"> to be</w:t>
      </w:r>
      <w:r w:rsidR="007942C6">
        <w:rPr>
          <w:rFonts w:ascii="Garamond" w:hAnsi="Garamond"/>
        </w:rPr>
        <w:t xml:space="preserve"> the most</w:t>
      </w:r>
      <w:r w:rsidR="00EB110E">
        <w:rPr>
          <w:rFonts w:ascii="Garamond" w:hAnsi="Garamond"/>
        </w:rPr>
        <w:t xml:space="preserve"> </w:t>
      </w:r>
      <w:r w:rsidR="00992029">
        <w:rPr>
          <w:rFonts w:ascii="Garamond" w:hAnsi="Garamond"/>
        </w:rPr>
        <w:t>successful when it came to revenue and earnings growth</w:t>
      </w:r>
      <w:r w:rsidR="002665A6">
        <w:rPr>
          <w:rFonts w:ascii="Garamond" w:hAnsi="Garamond"/>
        </w:rPr>
        <w:t xml:space="preserve">. </w:t>
      </w:r>
      <w:r w:rsidR="00706E87">
        <w:rPr>
          <w:rFonts w:ascii="Garamond" w:hAnsi="Garamond"/>
        </w:rPr>
        <w:t>Here</w:t>
      </w:r>
      <w:r w:rsidR="007942C6">
        <w:rPr>
          <w:rFonts w:ascii="Garamond" w:hAnsi="Garamond"/>
        </w:rPr>
        <w:t>,</w:t>
      </w:r>
      <w:r w:rsidR="00706E87">
        <w:rPr>
          <w:rFonts w:ascii="Garamond" w:hAnsi="Garamond"/>
        </w:rPr>
        <w:t xml:space="preserve"> we will </w:t>
      </w:r>
      <w:r w:rsidR="00C11A21">
        <w:rPr>
          <w:rFonts w:ascii="Garamond" w:hAnsi="Garamond"/>
        </w:rPr>
        <w:t>analyze more strategic moves between</w:t>
      </w:r>
      <w:r w:rsidR="008D596C">
        <w:rPr>
          <w:rFonts w:ascii="Garamond" w:hAnsi="Garamond"/>
        </w:rPr>
        <w:t xml:space="preserve"> Ulta </w:t>
      </w:r>
      <w:r w:rsidR="00C11A21">
        <w:rPr>
          <w:rFonts w:ascii="Garamond" w:hAnsi="Garamond"/>
        </w:rPr>
        <w:t xml:space="preserve">and </w:t>
      </w:r>
      <w:r w:rsidR="00485A23">
        <w:rPr>
          <w:rFonts w:ascii="Garamond" w:hAnsi="Garamond"/>
        </w:rPr>
        <w:t>its</w:t>
      </w:r>
      <w:r w:rsidR="00C11A21">
        <w:rPr>
          <w:rFonts w:ascii="Garamond" w:hAnsi="Garamond"/>
        </w:rPr>
        <w:t xml:space="preserve"> competitors, once again </w:t>
      </w:r>
      <w:r w:rsidR="002935B5">
        <w:rPr>
          <w:rFonts w:ascii="Garamond" w:hAnsi="Garamond"/>
        </w:rPr>
        <w:t>demonstrating</w:t>
      </w:r>
      <w:r w:rsidR="008D596C">
        <w:rPr>
          <w:rFonts w:ascii="Garamond" w:hAnsi="Garamond"/>
        </w:rPr>
        <w:t xml:space="preserve"> Ulta </w:t>
      </w:r>
      <w:r w:rsidR="002935B5">
        <w:rPr>
          <w:rFonts w:ascii="Garamond" w:hAnsi="Garamond"/>
        </w:rPr>
        <w:t>as the best option</w:t>
      </w:r>
      <w:r w:rsidR="000973D3">
        <w:rPr>
          <w:rFonts w:ascii="Garamond" w:hAnsi="Garamond"/>
        </w:rPr>
        <w:t>.</w:t>
      </w:r>
    </w:p>
    <w:p w14:paraId="46B2B092" w14:textId="1C410A8C" w:rsidR="00C83C46" w:rsidRDefault="005328E2" w:rsidP="00C83C46">
      <w:pPr>
        <w:rPr>
          <w:rFonts w:ascii="Garamond" w:hAnsi="Garamond"/>
        </w:rPr>
      </w:pPr>
      <w:r>
        <w:rPr>
          <w:rFonts w:ascii="Garamond" w:hAnsi="Garamond"/>
        </w:rPr>
        <w:t xml:space="preserve">With 42.2 </w:t>
      </w:r>
      <w:r w:rsidR="00096580">
        <w:rPr>
          <w:rFonts w:ascii="Garamond" w:hAnsi="Garamond"/>
        </w:rPr>
        <w:t>million</w:t>
      </w:r>
      <w:r>
        <w:rPr>
          <w:rFonts w:ascii="Garamond" w:hAnsi="Garamond"/>
        </w:rPr>
        <w:t xml:space="preserve"> members and growing, Ulta’s loyalty program is </w:t>
      </w:r>
      <w:r w:rsidR="00CD18F2">
        <w:rPr>
          <w:rFonts w:ascii="Garamond" w:hAnsi="Garamond"/>
        </w:rPr>
        <w:t>one of the best in the industry</w:t>
      </w:r>
      <w:r w:rsidR="002B1F2D">
        <w:rPr>
          <w:rFonts w:ascii="Garamond" w:hAnsi="Garamond"/>
        </w:rPr>
        <w:t xml:space="preserve">. </w:t>
      </w:r>
      <w:r w:rsidR="00D7449A">
        <w:rPr>
          <w:rFonts w:ascii="Garamond" w:hAnsi="Garamond"/>
        </w:rPr>
        <w:t xml:space="preserve">While it may not yet </w:t>
      </w:r>
      <w:r w:rsidR="006742EE">
        <w:rPr>
          <w:rFonts w:ascii="Garamond" w:hAnsi="Garamond"/>
        </w:rPr>
        <w:t>rival Amazon</w:t>
      </w:r>
      <w:r w:rsidR="00ED7CB0">
        <w:rPr>
          <w:rFonts w:ascii="Garamond" w:hAnsi="Garamond"/>
        </w:rPr>
        <w:t>’</w:t>
      </w:r>
      <w:r w:rsidR="006742EE">
        <w:rPr>
          <w:rFonts w:ascii="Garamond" w:hAnsi="Garamond"/>
        </w:rPr>
        <w:t xml:space="preserve">s </w:t>
      </w:r>
      <w:r w:rsidR="00F754F0">
        <w:rPr>
          <w:rFonts w:ascii="Garamond" w:hAnsi="Garamond"/>
        </w:rPr>
        <w:t xml:space="preserve">premier loyalty program Amazon Prime, </w:t>
      </w:r>
      <w:r w:rsidR="006F0303">
        <w:rPr>
          <w:rFonts w:ascii="Garamond" w:hAnsi="Garamond"/>
        </w:rPr>
        <w:t xml:space="preserve">it </w:t>
      </w:r>
      <w:r w:rsidR="00C05167">
        <w:rPr>
          <w:rFonts w:ascii="Garamond" w:hAnsi="Garamond"/>
        </w:rPr>
        <w:t xml:space="preserve">continues to outcompete the rest of the competition on size and contributions to revenue. </w:t>
      </w:r>
      <w:r w:rsidR="00AC7AA1">
        <w:rPr>
          <w:rFonts w:ascii="Garamond" w:hAnsi="Garamond"/>
        </w:rPr>
        <w:t>To enroll in this program, new shoppers</w:t>
      </w:r>
      <w:r w:rsidR="00CD0F01">
        <w:rPr>
          <w:rFonts w:ascii="Garamond" w:hAnsi="Garamond"/>
        </w:rPr>
        <w:t xml:space="preserve"> simply</w:t>
      </w:r>
      <w:r w:rsidR="00AC7AA1">
        <w:rPr>
          <w:rFonts w:ascii="Garamond" w:hAnsi="Garamond"/>
        </w:rPr>
        <w:t xml:space="preserve"> need to make </w:t>
      </w:r>
      <w:r w:rsidR="00F754F0">
        <w:rPr>
          <w:rFonts w:ascii="Garamond" w:hAnsi="Garamond"/>
        </w:rPr>
        <w:t>their first purchase</w:t>
      </w:r>
      <w:r w:rsidR="00CD0F01">
        <w:rPr>
          <w:rFonts w:ascii="Garamond" w:hAnsi="Garamond"/>
        </w:rPr>
        <w:t>, being automatically enrolled in the program and receiving</w:t>
      </w:r>
      <w:r w:rsidR="00C83C46">
        <w:rPr>
          <w:rFonts w:ascii="Garamond" w:hAnsi="Garamond"/>
        </w:rPr>
        <w:t xml:space="preserve"> rewards points from the start.</w:t>
      </w:r>
      <w:r w:rsidR="009F7F83">
        <w:rPr>
          <w:rFonts w:ascii="Garamond" w:hAnsi="Garamond"/>
        </w:rPr>
        <w:t xml:space="preserve"> </w:t>
      </w:r>
      <w:r w:rsidR="00C83C46">
        <w:rPr>
          <w:rFonts w:ascii="Garamond" w:hAnsi="Garamond"/>
        </w:rPr>
        <w:t xml:space="preserve">From this point, Ulta members gain rewards for every following purchase and receive </w:t>
      </w:r>
      <w:r w:rsidR="001C7EB5">
        <w:rPr>
          <w:rFonts w:ascii="Garamond" w:hAnsi="Garamond"/>
        </w:rPr>
        <w:t xml:space="preserve">tailored recommendations on the digital app based on </w:t>
      </w:r>
      <w:r w:rsidR="00134402">
        <w:rPr>
          <w:rFonts w:ascii="Garamond" w:hAnsi="Garamond"/>
        </w:rPr>
        <w:t>tastes determined from previous purchases.</w:t>
      </w:r>
      <w:r w:rsidR="00F377D0">
        <w:rPr>
          <w:rFonts w:ascii="Garamond" w:hAnsi="Garamond"/>
        </w:rPr>
        <w:t xml:space="preserve"> To incentivize continued purchases</w:t>
      </w:r>
      <w:r w:rsidR="005C5191">
        <w:rPr>
          <w:rFonts w:ascii="Garamond" w:hAnsi="Garamond"/>
        </w:rPr>
        <w:t xml:space="preserve">, Ulta increases the benefits for members who have higher annual spending. </w:t>
      </w:r>
      <w:r w:rsidR="00714E7D">
        <w:rPr>
          <w:rFonts w:ascii="Garamond" w:hAnsi="Garamond"/>
        </w:rPr>
        <w:t xml:space="preserve">For example, </w:t>
      </w:r>
      <w:r w:rsidR="00680758">
        <w:rPr>
          <w:rFonts w:ascii="Garamond" w:hAnsi="Garamond"/>
        </w:rPr>
        <w:t xml:space="preserve">Platinum members who spend $500 annually </w:t>
      </w:r>
      <w:r w:rsidR="00C90482">
        <w:rPr>
          <w:rFonts w:ascii="Garamond" w:hAnsi="Garamond"/>
        </w:rPr>
        <w:t>receive exclusive deals, gifts &amp; early access along with 1.25 points per dollar spent rather than the general member</w:t>
      </w:r>
      <w:r w:rsidR="00ED7CB0">
        <w:rPr>
          <w:rFonts w:ascii="Garamond" w:hAnsi="Garamond"/>
        </w:rPr>
        <w:t>’s</w:t>
      </w:r>
      <w:r w:rsidR="00C90482">
        <w:rPr>
          <w:rFonts w:ascii="Garamond" w:hAnsi="Garamond"/>
        </w:rPr>
        <w:t xml:space="preserve"> 1 point per dollar</w:t>
      </w:r>
      <w:r w:rsidR="00236301">
        <w:rPr>
          <w:rFonts w:ascii="Garamond" w:hAnsi="Garamond"/>
        </w:rPr>
        <w:t xml:space="preserve">. Diamond members who spend $1,200 annually receive a choice of </w:t>
      </w:r>
      <w:r w:rsidR="004A62FF">
        <w:rPr>
          <w:rFonts w:ascii="Garamond" w:hAnsi="Garamond"/>
        </w:rPr>
        <w:t>full-size</w:t>
      </w:r>
      <w:r w:rsidR="00236301">
        <w:rPr>
          <w:rFonts w:ascii="Garamond" w:hAnsi="Garamond"/>
        </w:rPr>
        <w:t xml:space="preserve"> Diamond Gift</w:t>
      </w:r>
      <w:r w:rsidR="00BE1E07">
        <w:rPr>
          <w:rFonts w:ascii="Garamond" w:hAnsi="Garamond"/>
        </w:rPr>
        <w:t xml:space="preserve">, $25 off beauty service, and free shipping on any </w:t>
      </w:r>
      <w:r w:rsidR="00EE5B64">
        <w:rPr>
          <w:rFonts w:ascii="Garamond" w:hAnsi="Garamond"/>
        </w:rPr>
        <w:t xml:space="preserve">order </w:t>
      </w:r>
      <w:r w:rsidR="00BE1E07">
        <w:rPr>
          <w:rFonts w:ascii="Garamond" w:hAnsi="Garamond"/>
        </w:rPr>
        <w:t>above $25.</w:t>
      </w:r>
      <w:r w:rsidR="005B198D">
        <w:rPr>
          <w:rFonts w:ascii="Garamond" w:hAnsi="Garamond"/>
        </w:rPr>
        <w:t xml:space="preserve"> These </w:t>
      </w:r>
      <w:r w:rsidR="009634F9">
        <w:rPr>
          <w:rFonts w:ascii="Garamond" w:hAnsi="Garamond"/>
        </w:rPr>
        <w:t xml:space="preserve">rewards are meant to continuously pull customers into Ulta </w:t>
      </w:r>
      <w:r w:rsidR="003E5647">
        <w:rPr>
          <w:rFonts w:ascii="Garamond" w:hAnsi="Garamond"/>
        </w:rPr>
        <w:t>storefronts,</w:t>
      </w:r>
      <w:r w:rsidR="009634F9">
        <w:rPr>
          <w:rFonts w:ascii="Garamond" w:hAnsi="Garamond"/>
        </w:rPr>
        <w:t xml:space="preserve"> </w:t>
      </w:r>
      <w:r w:rsidR="00C479AE">
        <w:rPr>
          <w:rFonts w:ascii="Garamond" w:hAnsi="Garamond"/>
        </w:rPr>
        <w:t>and the</w:t>
      </w:r>
      <w:r w:rsidR="006027E0">
        <w:rPr>
          <w:rFonts w:ascii="Garamond" w:hAnsi="Garamond"/>
        </w:rPr>
        <w:t xml:space="preserve"> success of the program can </w:t>
      </w:r>
      <w:r w:rsidR="002F7561">
        <w:rPr>
          <w:rFonts w:ascii="Garamond" w:hAnsi="Garamond"/>
        </w:rPr>
        <w:t>be seen by member</w:t>
      </w:r>
      <w:r w:rsidR="00AC15A9">
        <w:rPr>
          <w:rFonts w:ascii="Garamond" w:hAnsi="Garamond"/>
        </w:rPr>
        <w:t xml:space="preserve"> purchases accounting for 95% of total sales</w:t>
      </w:r>
      <w:r w:rsidR="00DC04A1">
        <w:rPr>
          <w:rFonts w:ascii="Garamond" w:hAnsi="Garamond"/>
        </w:rPr>
        <w:t>, illustrating the unique position</w:t>
      </w:r>
      <w:r w:rsidR="00D74031">
        <w:rPr>
          <w:rFonts w:ascii="Garamond" w:hAnsi="Garamond"/>
        </w:rPr>
        <w:t xml:space="preserve">ing Ulta </w:t>
      </w:r>
      <w:r w:rsidR="00736726">
        <w:rPr>
          <w:rFonts w:ascii="Garamond" w:hAnsi="Garamond"/>
        </w:rPr>
        <w:t>has</w:t>
      </w:r>
      <w:r w:rsidR="005E21D8">
        <w:rPr>
          <w:rFonts w:ascii="Garamond" w:hAnsi="Garamond"/>
        </w:rPr>
        <w:t xml:space="preserve"> over </w:t>
      </w:r>
      <w:r w:rsidR="00ED7CB0">
        <w:rPr>
          <w:rFonts w:ascii="Garamond" w:hAnsi="Garamond"/>
        </w:rPr>
        <w:t xml:space="preserve">the </w:t>
      </w:r>
      <w:r w:rsidR="005E21D8">
        <w:rPr>
          <w:rFonts w:ascii="Garamond" w:hAnsi="Garamond"/>
        </w:rPr>
        <w:t>competition</w:t>
      </w:r>
      <w:r w:rsidR="00736726">
        <w:rPr>
          <w:rFonts w:ascii="Garamond" w:hAnsi="Garamond"/>
        </w:rPr>
        <w:t xml:space="preserve"> </w:t>
      </w:r>
      <w:r w:rsidR="002A2D5E">
        <w:rPr>
          <w:rFonts w:ascii="Garamond" w:hAnsi="Garamond"/>
        </w:rPr>
        <w:t>to develop a deep understanding of their customers</w:t>
      </w:r>
      <w:r w:rsidR="00AC0287">
        <w:rPr>
          <w:rFonts w:ascii="Garamond" w:hAnsi="Garamond"/>
        </w:rPr>
        <w:t>.</w:t>
      </w:r>
    </w:p>
    <w:p w14:paraId="78178117" w14:textId="48E407EB" w:rsidR="002E6E31" w:rsidRDefault="00DE702C" w:rsidP="002E6E31">
      <w:pPr>
        <w:rPr>
          <w:rFonts w:ascii="Garamond" w:hAnsi="Garamond"/>
        </w:rPr>
      </w:pPr>
      <w:r>
        <w:rPr>
          <w:rFonts w:ascii="Garamond" w:hAnsi="Garamond"/>
        </w:rPr>
        <w:t xml:space="preserve">Apart from its loyalty program, Ulta can further </w:t>
      </w:r>
      <w:r w:rsidR="00737FDD">
        <w:rPr>
          <w:rFonts w:ascii="Garamond" w:hAnsi="Garamond"/>
        </w:rPr>
        <w:t>distinguish itself from the competition through</w:t>
      </w:r>
      <w:r w:rsidR="00ED7CB0">
        <w:rPr>
          <w:rFonts w:ascii="Garamond" w:hAnsi="Garamond"/>
        </w:rPr>
        <w:t xml:space="preserve"> a</w:t>
      </w:r>
      <w:r w:rsidR="00737FDD">
        <w:rPr>
          <w:rFonts w:ascii="Garamond" w:hAnsi="Garamond"/>
        </w:rPr>
        <w:t xml:space="preserve"> </w:t>
      </w:r>
      <w:r w:rsidR="00E751BC">
        <w:rPr>
          <w:rFonts w:ascii="Garamond" w:hAnsi="Garamond"/>
        </w:rPr>
        <w:t xml:space="preserve">selection of products across multiple price points. By carrying </w:t>
      </w:r>
      <w:r w:rsidR="00EC2D16">
        <w:rPr>
          <w:rFonts w:ascii="Garamond" w:hAnsi="Garamond"/>
        </w:rPr>
        <w:t xml:space="preserve">mass, </w:t>
      </w:r>
      <w:r w:rsidR="00072787">
        <w:rPr>
          <w:rFonts w:ascii="Garamond" w:hAnsi="Garamond"/>
        </w:rPr>
        <w:t>prestige,</w:t>
      </w:r>
      <w:r w:rsidR="00EC2D16">
        <w:rPr>
          <w:rFonts w:ascii="Garamond" w:hAnsi="Garamond"/>
        </w:rPr>
        <w:t xml:space="preserve"> and luxury brands, Ulta has a product for each consumer</w:t>
      </w:r>
      <w:r w:rsidR="00AC240D">
        <w:rPr>
          <w:rFonts w:ascii="Garamond" w:hAnsi="Garamond"/>
        </w:rPr>
        <w:t xml:space="preserve">, unlike competitors such as CVS and Estee Lauder. </w:t>
      </w:r>
      <w:r w:rsidR="00A62F6C">
        <w:rPr>
          <w:rFonts w:ascii="Garamond" w:hAnsi="Garamond"/>
        </w:rPr>
        <w:t xml:space="preserve">While Sephora and </w:t>
      </w:r>
      <w:r w:rsidR="009874FB">
        <w:rPr>
          <w:rFonts w:ascii="Garamond" w:hAnsi="Garamond"/>
        </w:rPr>
        <w:t>Amazon both carry a vastly similar product array, Ulta outcompetes Sephora</w:t>
      </w:r>
      <w:r w:rsidR="00072787">
        <w:rPr>
          <w:rFonts w:ascii="Garamond" w:hAnsi="Garamond"/>
        </w:rPr>
        <w:t xml:space="preserve"> with </w:t>
      </w:r>
      <w:proofErr w:type="spellStart"/>
      <w:proofErr w:type="gramStart"/>
      <w:r w:rsidR="00072787">
        <w:rPr>
          <w:rFonts w:ascii="Garamond" w:hAnsi="Garamond"/>
        </w:rPr>
        <w:t>it</w:t>
      </w:r>
      <w:r w:rsidR="00ED7CB0">
        <w:rPr>
          <w:rFonts w:ascii="Garamond" w:hAnsi="Garamond"/>
        </w:rPr>
        <w:t>’s</w:t>
      </w:r>
      <w:proofErr w:type="spellEnd"/>
      <w:proofErr w:type="gramEnd"/>
      <w:r w:rsidR="00072787">
        <w:rPr>
          <w:rFonts w:ascii="Garamond" w:hAnsi="Garamond"/>
        </w:rPr>
        <w:t xml:space="preserve"> loyalty program, and Amazon with its in-store presence and omni-channel shopping experience.</w:t>
      </w:r>
      <w:r w:rsidR="00212D66">
        <w:rPr>
          <w:rFonts w:ascii="Garamond" w:hAnsi="Garamond"/>
        </w:rPr>
        <w:t xml:space="preserve"> Conclusively, while all industry </w:t>
      </w:r>
      <w:r w:rsidR="00192414">
        <w:rPr>
          <w:rFonts w:ascii="Garamond" w:hAnsi="Garamond"/>
        </w:rPr>
        <w:t xml:space="preserve">competitors </w:t>
      </w:r>
      <w:r w:rsidR="00212D66">
        <w:rPr>
          <w:rFonts w:ascii="Garamond" w:hAnsi="Garamond"/>
        </w:rPr>
        <w:t xml:space="preserve">will </w:t>
      </w:r>
      <w:r w:rsidR="00192414">
        <w:rPr>
          <w:rFonts w:ascii="Garamond" w:hAnsi="Garamond"/>
        </w:rPr>
        <w:t xml:space="preserve">benefit from </w:t>
      </w:r>
      <w:r w:rsidR="00CA1CF4">
        <w:rPr>
          <w:rFonts w:ascii="Garamond" w:hAnsi="Garamond"/>
        </w:rPr>
        <w:t>the projected industry growth, Ulta’s loyalty program, product selection</w:t>
      </w:r>
      <w:r w:rsidR="00ED7CB0">
        <w:rPr>
          <w:rFonts w:ascii="Garamond" w:hAnsi="Garamond"/>
        </w:rPr>
        <w:t>,</w:t>
      </w:r>
      <w:r w:rsidR="00CA1CF4">
        <w:rPr>
          <w:rFonts w:ascii="Garamond" w:hAnsi="Garamond"/>
        </w:rPr>
        <w:t xml:space="preserve"> and omnichannel presence </w:t>
      </w:r>
      <w:r w:rsidR="004735C2">
        <w:rPr>
          <w:rFonts w:ascii="Garamond" w:hAnsi="Garamond"/>
        </w:rPr>
        <w:t xml:space="preserve">position it best to receive the </w:t>
      </w:r>
      <w:r w:rsidR="00FD4386">
        <w:rPr>
          <w:rFonts w:ascii="Garamond" w:hAnsi="Garamond"/>
        </w:rPr>
        <w:t>bulk of profits.</w:t>
      </w:r>
    </w:p>
    <w:p w14:paraId="40C2406C" w14:textId="77777777" w:rsidR="002E6E31" w:rsidRDefault="002E6E31" w:rsidP="002E6E31">
      <w:pPr>
        <w:rPr>
          <w:rFonts w:ascii="Garamond" w:hAnsi="Garamond"/>
        </w:rPr>
      </w:pPr>
    </w:p>
    <w:p w14:paraId="07FFF665" w14:textId="361C65F7" w:rsidR="002E6E31" w:rsidRDefault="002E6E31" w:rsidP="002E6E31">
      <w:pPr>
        <w:rPr>
          <w:rFonts w:ascii="Garamond" w:hAnsi="Garamond"/>
          <w:b/>
          <w:bCs/>
          <w:color w:val="E97132" w:themeColor="accent2"/>
          <w:sz w:val="28"/>
          <w:szCs w:val="28"/>
        </w:rPr>
      </w:pPr>
      <w:r>
        <w:rPr>
          <w:rFonts w:ascii="Garamond" w:hAnsi="Garamond"/>
          <w:b/>
          <w:bCs/>
          <w:color w:val="E97132" w:themeColor="accent2"/>
          <w:sz w:val="28"/>
          <w:szCs w:val="28"/>
        </w:rPr>
        <w:lastRenderedPageBreak/>
        <w:t>Risks</w:t>
      </w:r>
    </w:p>
    <w:p w14:paraId="5FA5BD37" w14:textId="1997CC1A" w:rsidR="00703F16" w:rsidRPr="00B340F0" w:rsidRDefault="000C6256" w:rsidP="00703F16">
      <w:pPr>
        <w:rPr>
          <w:rFonts w:ascii="Garamond" w:hAnsi="Garamond"/>
        </w:rPr>
      </w:pPr>
      <w:r>
        <w:rPr>
          <w:rFonts w:ascii="Garamond" w:hAnsi="Garamond"/>
        </w:rPr>
        <w:t xml:space="preserve">While the outlook for Ulta </w:t>
      </w:r>
      <w:r w:rsidR="00980D78">
        <w:rPr>
          <w:rFonts w:ascii="Garamond" w:hAnsi="Garamond"/>
        </w:rPr>
        <w:t>is positive, the risks are not to be forgotten. W</w:t>
      </w:r>
      <w:r w:rsidR="004D720D">
        <w:rPr>
          <w:rFonts w:ascii="Garamond" w:hAnsi="Garamond"/>
        </w:rPr>
        <w:t>ith the future promise and past success of the Beauty Industry becoming more and more attractive</w:t>
      </w:r>
      <w:r w:rsidR="00816E27">
        <w:rPr>
          <w:rFonts w:ascii="Garamond" w:hAnsi="Garamond"/>
        </w:rPr>
        <w:t xml:space="preserve">, over 1000 new competitive locations </w:t>
      </w:r>
      <w:r w:rsidR="001B5229" w:rsidRPr="00D14C31">
        <w:rPr>
          <w:rFonts w:ascii="Garamond" w:hAnsi="Garamond"/>
        </w:rPr>
        <w:t xml:space="preserve">have opened within the last 2 years and competed for </w:t>
      </w:r>
      <w:r w:rsidR="00A97583" w:rsidRPr="00D14C31">
        <w:rPr>
          <w:rFonts w:ascii="Garamond" w:hAnsi="Garamond"/>
        </w:rPr>
        <w:t>Ulta’s</w:t>
      </w:r>
      <w:r w:rsidR="001B5229" w:rsidRPr="00D14C31">
        <w:rPr>
          <w:rFonts w:ascii="Garamond" w:hAnsi="Garamond"/>
        </w:rPr>
        <w:t xml:space="preserve"> market share</w:t>
      </w:r>
      <w:r w:rsidR="00816E27">
        <w:rPr>
          <w:rFonts w:ascii="Garamond" w:hAnsi="Garamond"/>
        </w:rPr>
        <w:t>.</w:t>
      </w:r>
      <w:r w:rsidR="00F05DB9">
        <w:rPr>
          <w:rFonts w:ascii="Garamond" w:hAnsi="Garamond"/>
        </w:rPr>
        <w:t xml:space="preserve"> </w:t>
      </w:r>
      <w:r w:rsidR="00C97B5F">
        <w:rPr>
          <w:rFonts w:ascii="Garamond" w:hAnsi="Garamond"/>
        </w:rPr>
        <w:t>Although</w:t>
      </w:r>
      <w:r w:rsidR="008D596C">
        <w:rPr>
          <w:rFonts w:ascii="Garamond" w:hAnsi="Garamond"/>
        </w:rPr>
        <w:t xml:space="preserve"> Ulta </w:t>
      </w:r>
      <w:r w:rsidR="00F05DB9">
        <w:rPr>
          <w:rFonts w:ascii="Garamond" w:hAnsi="Garamond"/>
        </w:rPr>
        <w:t xml:space="preserve">has historically proven to be </w:t>
      </w:r>
      <w:r w:rsidR="001B5229" w:rsidRPr="00D14C31">
        <w:rPr>
          <w:rFonts w:ascii="Garamond" w:hAnsi="Garamond"/>
        </w:rPr>
        <w:t>able to absorb this competition and rebound in the long run</w:t>
      </w:r>
      <w:r w:rsidR="00C97B5F">
        <w:rPr>
          <w:rFonts w:ascii="Garamond" w:hAnsi="Garamond"/>
        </w:rPr>
        <w:t xml:space="preserve">, </w:t>
      </w:r>
      <w:r w:rsidR="00600069">
        <w:rPr>
          <w:rFonts w:ascii="Garamond" w:hAnsi="Garamond"/>
        </w:rPr>
        <w:t>David Kimbell pointed out, “</w:t>
      </w:r>
      <w:r w:rsidR="001B5229" w:rsidRPr="00D14C31">
        <w:rPr>
          <w:rFonts w:ascii="Garamond" w:hAnsi="Garamond"/>
        </w:rPr>
        <w:t>What's unique about right now is the scale of it to have over 1,000 new locations within a short-term period. It's unprecedented in our history, and probably in retail more broadly.</w:t>
      </w:r>
      <w:r w:rsidR="00283991">
        <w:rPr>
          <w:rFonts w:ascii="Garamond" w:hAnsi="Garamond"/>
        </w:rPr>
        <w:t>”</w:t>
      </w:r>
      <w:r w:rsidR="00BD51E2">
        <w:rPr>
          <w:rFonts w:ascii="Garamond" w:hAnsi="Garamond"/>
        </w:rPr>
        <w:t xml:space="preserve"> </w:t>
      </w:r>
      <w:r w:rsidR="009F0EF6">
        <w:rPr>
          <w:rFonts w:ascii="Garamond" w:hAnsi="Garamond"/>
        </w:rPr>
        <w:t>Considering</w:t>
      </w:r>
      <w:r w:rsidR="008D596C">
        <w:rPr>
          <w:rFonts w:ascii="Garamond" w:hAnsi="Garamond"/>
        </w:rPr>
        <w:t xml:space="preserve"> Ulta </w:t>
      </w:r>
      <w:r w:rsidR="009F0EF6" w:rsidRPr="00D14C31">
        <w:rPr>
          <w:rFonts w:ascii="Garamond" w:hAnsi="Garamond"/>
        </w:rPr>
        <w:t>ha</w:t>
      </w:r>
      <w:r w:rsidR="009F0EF6">
        <w:rPr>
          <w:rFonts w:ascii="Garamond" w:hAnsi="Garamond"/>
        </w:rPr>
        <w:t>s</w:t>
      </w:r>
      <w:r w:rsidR="009F0EF6" w:rsidRPr="00D14C31">
        <w:rPr>
          <w:rFonts w:ascii="Garamond" w:hAnsi="Garamond"/>
        </w:rPr>
        <w:t xml:space="preserve"> not had to compete with the same scale of new competition as they are now </w:t>
      </w:r>
      <w:r w:rsidR="00ED7CB0">
        <w:rPr>
          <w:rFonts w:ascii="Garamond" w:hAnsi="Garamond"/>
        </w:rPr>
        <w:t xml:space="preserve">this new competition may </w:t>
      </w:r>
      <w:r w:rsidR="009F0EF6" w:rsidRPr="00D14C31">
        <w:rPr>
          <w:rFonts w:ascii="Garamond" w:hAnsi="Garamond"/>
        </w:rPr>
        <w:t>continue to drag down revenues and outcompete in the long run</w:t>
      </w:r>
      <w:r w:rsidR="009F0EF6">
        <w:rPr>
          <w:rFonts w:ascii="Garamond" w:hAnsi="Garamond"/>
        </w:rPr>
        <w:t>.</w:t>
      </w:r>
      <w:r w:rsidR="00CD4D4F">
        <w:rPr>
          <w:rFonts w:ascii="Garamond" w:hAnsi="Garamond"/>
        </w:rPr>
        <w:t xml:space="preserve"> </w:t>
      </w:r>
      <w:r w:rsidR="00E64117">
        <w:rPr>
          <w:rFonts w:ascii="Garamond" w:hAnsi="Garamond"/>
        </w:rPr>
        <w:t>W</w:t>
      </w:r>
      <w:r w:rsidR="00EE411B">
        <w:rPr>
          <w:rFonts w:ascii="Garamond" w:hAnsi="Garamond"/>
        </w:rPr>
        <w:t>hen it comes to</w:t>
      </w:r>
      <w:r w:rsidR="00E64117">
        <w:rPr>
          <w:rFonts w:ascii="Garamond" w:hAnsi="Garamond"/>
        </w:rPr>
        <w:t xml:space="preserve"> consumer preferences, McKinsey outlines </w:t>
      </w:r>
      <w:r w:rsidR="00EE411B">
        <w:rPr>
          <w:rFonts w:ascii="Garamond" w:hAnsi="Garamond"/>
        </w:rPr>
        <w:t>the risk that</w:t>
      </w:r>
      <w:r w:rsidR="00E64117">
        <w:rPr>
          <w:rFonts w:ascii="Garamond" w:hAnsi="Garamond"/>
        </w:rPr>
        <w:t xml:space="preserve"> </w:t>
      </w:r>
      <w:r w:rsidR="00DA7B83">
        <w:rPr>
          <w:rFonts w:ascii="Garamond" w:hAnsi="Garamond"/>
        </w:rPr>
        <w:t>“</w:t>
      </w:r>
      <w:r w:rsidR="00E64117" w:rsidRPr="00D14C31">
        <w:rPr>
          <w:rFonts w:ascii="Garamond" w:hAnsi="Garamond"/>
        </w:rPr>
        <w:t>Overall, beauty is expected to be characterized by “premiumization,” with the premium beauty tier projected to grow at an annual rate of 8 percent (compared with 5 percent in mass beauty) between 2022 and 2027</w:t>
      </w:r>
      <w:r w:rsidR="00DA7B83">
        <w:rPr>
          <w:rFonts w:ascii="Garamond" w:hAnsi="Garamond"/>
        </w:rPr>
        <w:t>.”</w:t>
      </w:r>
      <w:r w:rsidR="00070CF1">
        <w:rPr>
          <w:rFonts w:ascii="Garamond" w:hAnsi="Garamond"/>
        </w:rPr>
        <w:t xml:space="preserve"> This could prove to be an issue for</w:t>
      </w:r>
      <w:r w:rsidR="008D596C">
        <w:rPr>
          <w:rFonts w:ascii="Garamond" w:hAnsi="Garamond"/>
        </w:rPr>
        <w:t xml:space="preserve"> Ulta </w:t>
      </w:r>
      <w:r w:rsidR="00070CF1">
        <w:rPr>
          <w:rFonts w:ascii="Garamond" w:hAnsi="Garamond"/>
        </w:rPr>
        <w:t xml:space="preserve">as </w:t>
      </w:r>
      <w:r w:rsidR="00AA48ED">
        <w:rPr>
          <w:rFonts w:ascii="Garamond" w:hAnsi="Garamond"/>
        </w:rPr>
        <w:t xml:space="preserve">they </w:t>
      </w:r>
      <w:r w:rsidR="004E23D2">
        <w:rPr>
          <w:rFonts w:ascii="Garamond" w:hAnsi="Garamond"/>
        </w:rPr>
        <w:t>began to lose in</w:t>
      </w:r>
      <w:r w:rsidR="00ED7CB0">
        <w:rPr>
          <w:rFonts w:ascii="Garamond" w:hAnsi="Garamond"/>
        </w:rPr>
        <w:t>-</w:t>
      </w:r>
      <w:r w:rsidR="004E23D2">
        <w:rPr>
          <w:rFonts w:ascii="Garamond" w:hAnsi="Garamond"/>
        </w:rPr>
        <w:t xml:space="preserve">store market share of premium products as they focused their efforts on </w:t>
      </w:r>
      <w:r w:rsidR="00DA1E57">
        <w:rPr>
          <w:rFonts w:ascii="Garamond" w:hAnsi="Garamond"/>
        </w:rPr>
        <w:t xml:space="preserve">premium </w:t>
      </w:r>
      <w:r w:rsidR="00300350">
        <w:rPr>
          <w:rFonts w:ascii="Garamond" w:hAnsi="Garamond"/>
        </w:rPr>
        <w:t>E-commerce</w:t>
      </w:r>
      <w:r w:rsidR="00DA1E57">
        <w:rPr>
          <w:rFonts w:ascii="Garamond" w:hAnsi="Garamond"/>
        </w:rPr>
        <w:t xml:space="preserve"> development.</w:t>
      </w:r>
    </w:p>
    <w:p w14:paraId="0EEEC145" w14:textId="77777777" w:rsidR="00703F16" w:rsidRPr="00814004" w:rsidRDefault="00703F16" w:rsidP="00F62C7F">
      <w:pPr>
        <w:rPr>
          <w:rFonts w:ascii="Garamond" w:hAnsi="Garamond"/>
        </w:rPr>
      </w:pPr>
    </w:p>
    <w:sectPr w:rsidR="00703F16" w:rsidRPr="00814004" w:rsidSect="00553244">
      <w:footerReference w:type="default" r:id="rId18"/>
      <w:footerReference w:type="first" r:id="rId1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BF394" w14:textId="77777777" w:rsidR="0079493B" w:rsidRDefault="0079493B" w:rsidP="00D14C31">
      <w:pPr>
        <w:spacing w:after="0" w:line="240" w:lineRule="auto"/>
      </w:pPr>
      <w:r>
        <w:separator/>
      </w:r>
    </w:p>
  </w:endnote>
  <w:endnote w:type="continuationSeparator" w:id="0">
    <w:p w14:paraId="49B5FC5D" w14:textId="77777777" w:rsidR="0079493B" w:rsidRDefault="0079493B" w:rsidP="00D14C31">
      <w:pPr>
        <w:spacing w:after="0" w:line="240" w:lineRule="auto"/>
      </w:pPr>
      <w:r>
        <w:continuationSeparator/>
      </w:r>
    </w:p>
  </w:endnote>
  <w:endnote w:type="continuationNotice" w:id="1">
    <w:p w14:paraId="2C14F344" w14:textId="77777777" w:rsidR="0079493B" w:rsidRDefault="007949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1460078"/>
      <w:docPartObj>
        <w:docPartGallery w:val="Page Numbers (Bottom of Page)"/>
        <w:docPartUnique/>
      </w:docPartObj>
    </w:sdtPr>
    <w:sdtEndPr>
      <w:rPr>
        <w:color w:val="7F7F7F" w:themeColor="background1" w:themeShade="7F"/>
        <w:spacing w:val="60"/>
      </w:rPr>
    </w:sdtEndPr>
    <w:sdtContent>
      <w:p w14:paraId="19ED7003" w14:textId="12546B0B" w:rsidR="006642F5" w:rsidRPr="006642F5" w:rsidRDefault="006642F5" w:rsidP="006642F5">
        <w:pPr>
          <w:pStyle w:val="Footer"/>
          <w:rPr>
            <w:rFonts w:ascii="Garamond" w:hAnsi="Garamond"/>
            <w:color w:val="E57337"/>
            <w:sz w:val="24"/>
            <w:szCs w:val="24"/>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r w:rsidR="008D596C">
          <w:rPr>
            <w:b/>
            <w:bCs/>
          </w:rPr>
          <w:t xml:space="preserve"> </w:t>
        </w:r>
        <w:r w:rsidR="008D596C" w:rsidRPr="00A72E3F">
          <w:rPr>
            <w:rFonts w:ascii="Garamond" w:hAnsi="Garamond"/>
            <w:color w:val="E97132" w:themeColor="accent2"/>
            <w:sz w:val="24"/>
            <w:szCs w:val="24"/>
          </w:rPr>
          <w:t>Ulta</w:t>
        </w:r>
        <w:r w:rsidR="008D596C" w:rsidRPr="00A72E3F">
          <w:rPr>
            <w:color w:val="E97132" w:themeColor="accent2"/>
          </w:rPr>
          <w:t xml:space="preserve"> </w:t>
        </w:r>
        <w:r w:rsidRPr="00A72E3F">
          <w:rPr>
            <w:rFonts w:ascii="Garamond" w:hAnsi="Garamond"/>
            <w:color w:val="E97132" w:themeColor="accent2"/>
            <w:sz w:val="24"/>
            <w:szCs w:val="24"/>
          </w:rPr>
          <w:t>Stock Pitch by Simon Brown</w:t>
        </w:r>
      </w:p>
    </w:sdtContent>
  </w:sdt>
  <w:p w14:paraId="6255C25C" w14:textId="77777777" w:rsidR="00D14C31" w:rsidRDefault="00D14C31">
    <w:pPr>
      <w:pStyle w:val="Footer"/>
      <w:rPr>
        <w:rFonts w:ascii="Garamond" w:hAnsi="Garamond"/>
        <w:color w:val="F57B38"/>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DAF94" w14:textId="0FDC71EF" w:rsidR="006642F5" w:rsidRDefault="006642F5" w:rsidP="00A51E2A">
    <w:pPr>
      <w:pStyle w:val="Footer"/>
      <w:jc w:val="center"/>
    </w:pPr>
  </w:p>
  <w:p w14:paraId="2A6DF4D5" w14:textId="77777777" w:rsidR="00D14C31" w:rsidRDefault="00D14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C8E35" w14:textId="77777777" w:rsidR="0079493B" w:rsidRDefault="0079493B" w:rsidP="00D14C31">
      <w:pPr>
        <w:spacing w:after="0" w:line="240" w:lineRule="auto"/>
      </w:pPr>
      <w:r>
        <w:separator/>
      </w:r>
    </w:p>
  </w:footnote>
  <w:footnote w:type="continuationSeparator" w:id="0">
    <w:p w14:paraId="5D3B208D" w14:textId="77777777" w:rsidR="0079493B" w:rsidRDefault="0079493B" w:rsidP="00D14C31">
      <w:pPr>
        <w:spacing w:after="0" w:line="240" w:lineRule="auto"/>
      </w:pPr>
      <w:r>
        <w:continuationSeparator/>
      </w:r>
    </w:p>
  </w:footnote>
  <w:footnote w:type="continuationNotice" w:id="1">
    <w:p w14:paraId="3E676772" w14:textId="77777777" w:rsidR="0079493B" w:rsidRDefault="0079493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729EF"/>
    <w:multiLevelType w:val="hybridMultilevel"/>
    <w:tmpl w:val="DB12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06149"/>
    <w:multiLevelType w:val="hybridMultilevel"/>
    <w:tmpl w:val="B5C00396"/>
    <w:lvl w:ilvl="0" w:tplc="418E3C10">
      <w:start w:val="1"/>
      <w:numFmt w:val="bullet"/>
      <w:lvlText w:val="-"/>
      <w:lvlJc w:val="left"/>
      <w:pPr>
        <w:ind w:left="720" w:hanging="360"/>
      </w:pPr>
      <w:rPr>
        <w:rFonts w:ascii="Garamond" w:eastAsiaTheme="minorHAnsi" w:hAnsi="Garamon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72FD9"/>
    <w:multiLevelType w:val="multilevel"/>
    <w:tmpl w:val="A4ACC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42B8E"/>
    <w:multiLevelType w:val="hybridMultilevel"/>
    <w:tmpl w:val="5FDABC88"/>
    <w:lvl w:ilvl="0" w:tplc="418E3C10">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93EEB"/>
    <w:multiLevelType w:val="hybridMultilevel"/>
    <w:tmpl w:val="F17CD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C5BCF"/>
    <w:multiLevelType w:val="multilevel"/>
    <w:tmpl w:val="AAC24C8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DBA0276"/>
    <w:multiLevelType w:val="multilevel"/>
    <w:tmpl w:val="1C44B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423EEB"/>
    <w:multiLevelType w:val="hybridMultilevel"/>
    <w:tmpl w:val="FA0A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5645194">
    <w:abstractNumId w:val="6"/>
  </w:num>
  <w:num w:numId="2" w16cid:durableId="755857489">
    <w:abstractNumId w:val="6"/>
    <w:lvlOverride w:ilvl="4">
      <w:lvl w:ilvl="4">
        <w:numFmt w:val="bullet"/>
        <w:lvlText w:val="o"/>
        <w:lvlJc w:val="left"/>
        <w:pPr>
          <w:tabs>
            <w:tab w:val="num" w:pos="3600"/>
          </w:tabs>
          <w:ind w:left="3600" w:hanging="360"/>
        </w:pPr>
        <w:rPr>
          <w:rFonts w:ascii="Courier New" w:hAnsi="Courier New" w:hint="default"/>
          <w:sz w:val="20"/>
        </w:rPr>
      </w:lvl>
    </w:lvlOverride>
  </w:num>
  <w:num w:numId="3" w16cid:durableId="70125770">
    <w:abstractNumId w:val="6"/>
    <w:lvlOverride w:ilvl="4">
      <w:lvl w:ilvl="4">
        <w:numFmt w:val="bullet"/>
        <w:lvlText w:val="o"/>
        <w:lvlJc w:val="left"/>
        <w:pPr>
          <w:tabs>
            <w:tab w:val="num" w:pos="3600"/>
          </w:tabs>
          <w:ind w:left="3600" w:hanging="360"/>
        </w:pPr>
        <w:rPr>
          <w:rFonts w:ascii="Courier New" w:hAnsi="Courier New" w:hint="default"/>
          <w:sz w:val="20"/>
        </w:rPr>
      </w:lvl>
    </w:lvlOverride>
  </w:num>
  <w:num w:numId="4" w16cid:durableId="1024283351">
    <w:abstractNumId w:val="6"/>
    <w:lvlOverride w:ilvl="4">
      <w:lvl w:ilvl="4">
        <w:numFmt w:val="bullet"/>
        <w:lvlText w:val=""/>
        <w:lvlJc w:val="left"/>
        <w:pPr>
          <w:tabs>
            <w:tab w:val="num" w:pos="3600"/>
          </w:tabs>
          <w:ind w:left="3600" w:hanging="360"/>
        </w:pPr>
        <w:rPr>
          <w:rFonts w:ascii="Wingdings" w:hAnsi="Wingdings" w:hint="default"/>
          <w:sz w:val="20"/>
        </w:rPr>
      </w:lvl>
    </w:lvlOverride>
  </w:num>
  <w:num w:numId="5" w16cid:durableId="518860976">
    <w:abstractNumId w:val="6"/>
    <w:lvlOverride w:ilvl="4">
      <w:lvl w:ilvl="4">
        <w:numFmt w:val="bullet"/>
        <w:lvlText w:val=""/>
        <w:lvlJc w:val="left"/>
        <w:pPr>
          <w:tabs>
            <w:tab w:val="num" w:pos="3600"/>
          </w:tabs>
          <w:ind w:left="3600" w:hanging="360"/>
        </w:pPr>
        <w:rPr>
          <w:rFonts w:ascii="Wingdings" w:hAnsi="Wingdings" w:hint="default"/>
          <w:sz w:val="20"/>
        </w:rPr>
      </w:lvl>
    </w:lvlOverride>
  </w:num>
  <w:num w:numId="6" w16cid:durableId="1839273747">
    <w:abstractNumId w:val="6"/>
    <w:lvlOverride w:ilvl="4">
      <w:lvl w:ilvl="4">
        <w:numFmt w:val="bullet"/>
        <w:lvlText w:val="o"/>
        <w:lvlJc w:val="left"/>
        <w:pPr>
          <w:tabs>
            <w:tab w:val="num" w:pos="3600"/>
          </w:tabs>
          <w:ind w:left="3600" w:hanging="360"/>
        </w:pPr>
        <w:rPr>
          <w:rFonts w:ascii="Courier New" w:hAnsi="Courier New" w:hint="default"/>
          <w:sz w:val="20"/>
        </w:rPr>
      </w:lvl>
    </w:lvlOverride>
  </w:num>
  <w:num w:numId="7" w16cid:durableId="290209796">
    <w:abstractNumId w:val="6"/>
    <w:lvlOverride w:ilvl="4">
      <w:lvl w:ilvl="4">
        <w:numFmt w:val="bullet"/>
        <w:lvlText w:val="o"/>
        <w:lvlJc w:val="left"/>
        <w:pPr>
          <w:tabs>
            <w:tab w:val="num" w:pos="3600"/>
          </w:tabs>
          <w:ind w:left="3600" w:hanging="360"/>
        </w:pPr>
        <w:rPr>
          <w:rFonts w:ascii="Courier New" w:hAnsi="Courier New"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8" w16cid:durableId="531764586">
    <w:abstractNumId w:val="6"/>
    <w:lvlOverride w:ilvl="4">
      <w:lvl w:ilvl="4">
        <w:numFmt w:val="bullet"/>
        <w:lvlText w:val="o"/>
        <w:lvlJc w:val="left"/>
        <w:pPr>
          <w:tabs>
            <w:tab w:val="num" w:pos="3600"/>
          </w:tabs>
          <w:ind w:left="3600" w:hanging="360"/>
        </w:pPr>
        <w:rPr>
          <w:rFonts w:ascii="Courier New" w:hAnsi="Courier New"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9" w16cid:durableId="851334141">
    <w:abstractNumId w:val="6"/>
    <w:lvlOverride w:ilvl="3">
      <w:lvl w:ilvl="3">
        <w:numFmt w:val="bullet"/>
        <w:lvlText w:val=""/>
        <w:lvlJc w:val="left"/>
        <w:pPr>
          <w:tabs>
            <w:tab w:val="num" w:pos="2880"/>
          </w:tabs>
          <w:ind w:left="2880" w:hanging="360"/>
        </w:pPr>
        <w:rPr>
          <w:rFonts w:ascii="Wingdings" w:hAnsi="Wingdings" w:hint="default"/>
          <w:sz w:val="20"/>
        </w:rPr>
      </w:lvl>
    </w:lvlOverride>
  </w:num>
  <w:num w:numId="10" w16cid:durableId="443042187">
    <w:abstractNumId w:val="6"/>
    <w:lvlOverride w:ilvl="3">
      <w:lvl w:ilvl="3">
        <w:numFmt w:val="bullet"/>
        <w:lvlText w:val=""/>
        <w:lvlJc w:val="left"/>
        <w:pPr>
          <w:tabs>
            <w:tab w:val="num" w:pos="2880"/>
          </w:tabs>
          <w:ind w:left="2880" w:hanging="360"/>
        </w:pPr>
        <w:rPr>
          <w:rFonts w:ascii="Wingdings" w:hAnsi="Wingdings" w:hint="default"/>
          <w:sz w:val="20"/>
        </w:rPr>
      </w:lvl>
    </w:lvlOverride>
  </w:num>
  <w:num w:numId="11" w16cid:durableId="690298407">
    <w:abstractNumId w:val="2"/>
  </w:num>
  <w:num w:numId="12" w16cid:durableId="478228563">
    <w:abstractNumId w:val="4"/>
  </w:num>
  <w:num w:numId="13" w16cid:durableId="288636324">
    <w:abstractNumId w:val="7"/>
  </w:num>
  <w:num w:numId="14" w16cid:durableId="1076172628">
    <w:abstractNumId w:val="1"/>
  </w:num>
  <w:num w:numId="15" w16cid:durableId="1921061918">
    <w:abstractNumId w:val="5"/>
  </w:num>
  <w:num w:numId="16" w16cid:durableId="405037191">
    <w:abstractNumId w:val="5"/>
    <w:lvlOverride w:ilvl="2">
      <w:lvl w:ilvl="2">
        <w:numFmt w:val="bullet"/>
        <w:lvlText w:val=""/>
        <w:lvlJc w:val="left"/>
        <w:pPr>
          <w:tabs>
            <w:tab w:val="num" w:pos="2160"/>
          </w:tabs>
          <w:ind w:left="2160" w:hanging="360"/>
        </w:pPr>
        <w:rPr>
          <w:rFonts w:ascii="Symbol" w:hAnsi="Symbol" w:hint="default"/>
          <w:sz w:val="20"/>
        </w:rPr>
      </w:lvl>
    </w:lvlOverride>
  </w:num>
  <w:num w:numId="17" w16cid:durableId="1517579995">
    <w:abstractNumId w:val="3"/>
  </w:num>
  <w:num w:numId="18" w16cid:durableId="172132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29"/>
    <w:rsid w:val="000064B9"/>
    <w:rsid w:val="00021638"/>
    <w:rsid w:val="0002740B"/>
    <w:rsid w:val="00030130"/>
    <w:rsid w:val="00030435"/>
    <w:rsid w:val="0003523C"/>
    <w:rsid w:val="00040BF4"/>
    <w:rsid w:val="000424C5"/>
    <w:rsid w:val="00042B4D"/>
    <w:rsid w:val="00052D76"/>
    <w:rsid w:val="00053704"/>
    <w:rsid w:val="00060124"/>
    <w:rsid w:val="000620BA"/>
    <w:rsid w:val="000628F0"/>
    <w:rsid w:val="00063A88"/>
    <w:rsid w:val="0006443A"/>
    <w:rsid w:val="00070CF1"/>
    <w:rsid w:val="00072787"/>
    <w:rsid w:val="000727AD"/>
    <w:rsid w:val="00073DE1"/>
    <w:rsid w:val="00074D65"/>
    <w:rsid w:val="0007568E"/>
    <w:rsid w:val="000756D1"/>
    <w:rsid w:val="00075FC2"/>
    <w:rsid w:val="0007645D"/>
    <w:rsid w:val="00077149"/>
    <w:rsid w:val="00080042"/>
    <w:rsid w:val="000806F6"/>
    <w:rsid w:val="0008483E"/>
    <w:rsid w:val="000851D8"/>
    <w:rsid w:val="00085D20"/>
    <w:rsid w:val="000905D1"/>
    <w:rsid w:val="00090C0B"/>
    <w:rsid w:val="00092920"/>
    <w:rsid w:val="00094463"/>
    <w:rsid w:val="00095BC1"/>
    <w:rsid w:val="00096580"/>
    <w:rsid w:val="000970AD"/>
    <w:rsid w:val="000971A4"/>
    <w:rsid w:val="000972B1"/>
    <w:rsid w:val="000973D3"/>
    <w:rsid w:val="000A48F6"/>
    <w:rsid w:val="000A516B"/>
    <w:rsid w:val="000A5B18"/>
    <w:rsid w:val="000B08EE"/>
    <w:rsid w:val="000B1741"/>
    <w:rsid w:val="000B231E"/>
    <w:rsid w:val="000B4B39"/>
    <w:rsid w:val="000B631A"/>
    <w:rsid w:val="000B6D20"/>
    <w:rsid w:val="000B7191"/>
    <w:rsid w:val="000C1010"/>
    <w:rsid w:val="000C26F4"/>
    <w:rsid w:val="000C2BE7"/>
    <w:rsid w:val="000C53EB"/>
    <w:rsid w:val="000C6123"/>
    <w:rsid w:val="000C6256"/>
    <w:rsid w:val="000D0138"/>
    <w:rsid w:val="000D0947"/>
    <w:rsid w:val="000D4F20"/>
    <w:rsid w:val="000D60CE"/>
    <w:rsid w:val="000E08FB"/>
    <w:rsid w:val="000E6EE1"/>
    <w:rsid w:val="000E723E"/>
    <w:rsid w:val="000F1F23"/>
    <w:rsid w:val="000F5496"/>
    <w:rsid w:val="000F69E0"/>
    <w:rsid w:val="00100B32"/>
    <w:rsid w:val="00102C35"/>
    <w:rsid w:val="001042A3"/>
    <w:rsid w:val="00104B08"/>
    <w:rsid w:val="001055B8"/>
    <w:rsid w:val="00105FC8"/>
    <w:rsid w:val="0010759E"/>
    <w:rsid w:val="00110E2C"/>
    <w:rsid w:val="00112119"/>
    <w:rsid w:val="001130DB"/>
    <w:rsid w:val="0011366D"/>
    <w:rsid w:val="00126C7F"/>
    <w:rsid w:val="00127225"/>
    <w:rsid w:val="001275FB"/>
    <w:rsid w:val="00127E7C"/>
    <w:rsid w:val="00130135"/>
    <w:rsid w:val="00132EF0"/>
    <w:rsid w:val="001337DF"/>
    <w:rsid w:val="00133A71"/>
    <w:rsid w:val="00134402"/>
    <w:rsid w:val="00143546"/>
    <w:rsid w:val="00144297"/>
    <w:rsid w:val="0015653E"/>
    <w:rsid w:val="00160118"/>
    <w:rsid w:val="00160EBF"/>
    <w:rsid w:val="00160F45"/>
    <w:rsid w:val="00161009"/>
    <w:rsid w:val="001618D1"/>
    <w:rsid w:val="00162599"/>
    <w:rsid w:val="001633C7"/>
    <w:rsid w:val="0016359E"/>
    <w:rsid w:val="00167263"/>
    <w:rsid w:val="00167BBC"/>
    <w:rsid w:val="00170114"/>
    <w:rsid w:val="00174F16"/>
    <w:rsid w:val="0017699D"/>
    <w:rsid w:val="00177692"/>
    <w:rsid w:val="00177DAC"/>
    <w:rsid w:val="00184321"/>
    <w:rsid w:val="001869BD"/>
    <w:rsid w:val="0018708B"/>
    <w:rsid w:val="00187B9A"/>
    <w:rsid w:val="00192414"/>
    <w:rsid w:val="00196535"/>
    <w:rsid w:val="001A366B"/>
    <w:rsid w:val="001A7973"/>
    <w:rsid w:val="001B1A13"/>
    <w:rsid w:val="001B4435"/>
    <w:rsid w:val="001B5229"/>
    <w:rsid w:val="001B5FCA"/>
    <w:rsid w:val="001C1E6F"/>
    <w:rsid w:val="001C3E14"/>
    <w:rsid w:val="001C4EA8"/>
    <w:rsid w:val="001C5544"/>
    <w:rsid w:val="001C74AD"/>
    <w:rsid w:val="001C7EB5"/>
    <w:rsid w:val="001E1077"/>
    <w:rsid w:val="001E1A87"/>
    <w:rsid w:val="001E23B3"/>
    <w:rsid w:val="001F112B"/>
    <w:rsid w:val="00200B23"/>
    <w:rsid w:val="00201503"/>
    <w:rsid w:val="002027E8"/>
    <w:rsid w:val="00203019"/>
    <w:rsid w:val="00204977"/>
    <w:rsid w:val="00206E36"/>
    <w:rsid w:val="002117F0"/>
    <w:rsid w:val="00212D66"/>
    <w:rsid w:val="00213AEA"/>
    <w:rsid w:val="002146E5"/>
    <w:rsid w:val="0022172D"/>
    <w:rsid w:val="002233FB"/>
    <w:rsid w:val="0023038D"/>
    <w:rsid w:val="00230AAC"/>
    <w:rsid w:val="0023375E"/>
    <w:rsid w:val="00233E3F"/>
    <w:rsid w:val="00234A44"/>
    <w:rsid w:val="00236301"/>
    <w:rsid w:val="00236BC9"/>
    <w:rsid w:val="002420FF"/>
    <w:rsid w:val="00242AC2"/>
    <w:rsid w:val="002432CC"/>
    <w:rsid w:val="002475BA"/>
    <w:rsid w:val="002527C1"/>
    <w:rsid w:val="00255CCE"/>
    <w:rsid w:val="00260894"/>
    <w:rsid w:val="00260A2C"/>
    <w:rsid w:val="00261F6F"/>
    <w:rsid w:val="0026578C"/>
    <w:rsid w:val="00266021"/>
    <w:rsid w:val="002665A6"/>
    <w:rsid w:val="00270CA7"/>
    <w:rsid w:val="002756C9"/>
    <w:rsid w:val="00280CCF"/>
    <w:rsid w:val="00281BC0"/>
    <w:rsid w:val="00283991"/>
    <w:rsid w:val="00285B7E"/>
    <w:rsid w:val="00292463"/>
    <w:rsid w:val="002925A7"/>
    <w:rsid w:val="002935B5"/>
    <w:rsid w:val="002939ED"/>
    <w:rsid w:val="002A2D5E"/>
    <w:rsid w:val="002A3C9F"/>
    <w:rsid w:val="002A43D4"/>
    <w:rsid w:val="002A50B2"/>
    <w:rsid w:val="002A62A5"/>
    <w:rsid w:val="002A6DC7"/>
    <w:rsid w:val="002A6F92"/>
    <w:rsid w:val="002B1091"/>
    <w:rsid w:val="002B1F2D"/>
    <w:rsid w:val="002B457E"/>
    <w:rsid w:val="002B6430"/>
    <w:rsid w:val="002C15FA"/>
    <w:rsid w:val="002C16E8"/>
    <w:rsid w:val="002C3EFD"/>
    <w:rsid w:val="002C648F"/>
    <w:rsid w:val="002C7CE3"/>
    <w:rsid w:val="002D4E49"/>
    <w:rsid w:val="002D5407"/>
    <w:rsid w:val="002D542A"/>
    <w:rsid w:val="002E07A7"/>
    <w:rsid w:val="002E1C97"/>
    <w:rsid w:val="002E2E9C"/>
    <w:rsid w:val="002E6E31"/>
    <w:rsid w:val="002E7844"/>
    <w:rsid w:val="002F2509"/>
    <w:rsid w:val="002F3EF2"/>
    <w:rsid w:val="002F66EB"/>
    <w:rsid w:val="002F7561"/>
    <w:rsid w:val="00300350"/>
    <w:rsid w:val="0030163D"/>
    <w:rsid w:val="00305A31"/>
    <w:rsid w:val="00307EA1"/>
    <w:rsid w:val="0031031C"/>
    <w:rsid w:val="00311D5D"/>
    <w:rsid w:val="003146A8"/>
    <w:rsid w:val="00314EB1"/>
    <w:rsid w:val="00316926"/>
    <w:rsid w:val="00321BB4"/>
    <w:rsid w:val="003260CA"/>
    <w:rsid w:val="00332A96"/>
    <w:rsid w:val="003332C5"/>
    <w:rsid w:val="00335B04"/>
    <w:rsid w:val="003423FC"/>
    <w:rsid w:val="003438F6"/>
    <w:rsid w:val="0035062E"/>
    <w:rsid w:val="0035368C"/>
    <w:rsid w:val="00354B7A"/>
    <w:rsid w:val="00354D6B"/>
    <w:rsid w:val="003553D1"/>
    <w:rsid w:val="00355B95"/>
    <w:rsid w:val="003600B9"/>
    <w:rsid w:val="00361B82"/>
    <w:rsid w:val="00364BB2"/>
    <w:rsid w:val="00366DF9"/>
    <w:rsid w:val="00371305"/>
    <w:rsid w:val="00375A75"/>
    <w:rsid w:val="00376087"/>
    <w:rsid w:val="0037798C"/>
    <w:rsid w:val="003800A9"/>
    <w:rsid w:val="0038215F"/>
    <w:rsid w:val="00384AC7"/>
    <w:rsid w:val="00391E6C"/>
    <w:rsid w:val="003924AB"/>
    <w:rsid w:val="003946F5"/>
    <w:rsid w:val="00394DFA"/>
    <w:rsid w:val="003A1975"/>
    <w:rsid w:val="003A5B4A"/>
    <w:rsid w:val="003A7771"/>
    <w:rsid w:val="003B0F50"/>
    <w:rsid w:val="003B1914"/>
    <w:rsid w:val="003B193B"/>
    <w:rsid w:val="003B4E2F"/>
    <w:rsid w:val="003C2608"/>
    <w:rsid w:val="003C328C"/>
    <w:rsid w:val="003C717F"/>
    <w:rsid w:val="003D06F6"/>
    <w:rsid w:val="003D0C7C"/>
    <w:rsid w:val="003D2CDA"/>
    <w:rsid w:val="003D2EA9"/>
    <w:rsid w:val="003D581F"/>
    <w:rsid w:val="003D5ACD"/>
    <w:rsid w:val="003D77F3"/>
    <w:rsid w:val="003D7F85"/>
    <w:rsid w:val="003E0A55"/>
    <w:rsid w:val="003E2765"/>
    <w:rsid w:val="003E2CEA"/>
    <w:rsid w:val="003E377B"/>
    <w:rsid w:val="003E5305"/>
    <w:rsid w:val="003E5647"/>
    <w:rsid w:val="003E6EC8"/>
    <w:rsid w:val="00402229"/>
    <w:rsid w:val="004022BF"/>
    <w:rsid w:val="00406B11"/>
    <w:rsid w:val="00406EC3"/>
    <w:rsid w:val="0040703D"/>
    <w:rsid w:val="004134D1"/>
    <w:rsid w:val="004146AF"/>
    <w:rsid w:val="0041485D"/>
    <w:rsid w:val="004165EA"/>
    <w:rsid w:val="004167D0"/>
    <w:rsid w:val="00416E18"/>
    <w:rsid w:val="004206A9"/>
    <w:rsid w:val="00420B2B"/>
    <w:rsid w:val="004222DE"/>
    <w:rsid w:val="00423B09"/>
    <w:rsid w:val="0042514E"/>
    <w:rsid w:val="004274A9"/>
    <w:rsid w:val="00431607"/>
    <w:rsid w:val="00432F5A"/>
    <w:rsid w:val="00435AF8"/>
    <w:rsid w:val="00440B1F"/>
    <w:rsid w:val="00442BFB"/>
    <w:rsid w:val="00445713"/>
    <w:rsid w:val="00461A82"/>
    <w:rsid w:val="0046267D"/>
    <w:rsid w:val="004658CE"/>
    <w:rsid w:val="0046767C"/>
    <w:rsid w:val="0046789A"/>
    <w:rsid w:val="00473251"/>
    <w:rsid w:val="004735C2"/>
    <w:rsid w:val="00474E97"/>
    <w:rsid w:val="00475E74"/>
    <w:rsid w:val="0048329E"/>
    <w:rsid w:val="00485A23"/>
    <w:rsid w:val="00487C20"/>
    <w:rsid w:val="00487D03"/>
    <w:rsid w:val="004900A8"/>
    <w:rsid w:val="0049196A"/>
    <w:rsid w:val="00493C5F"/>
    <w:rsid w:val="004964E5"/>
    <w:rsid w:val="00497B75"/>
    <w:rsid w:val="004A0412"/>
    <w:rsid w:val="004A1319"/>
    <w:rsid w:val="004A2836"/>
    <w:rsid w:val="004A62FF"/>
    <w:rsid w:val="004A6B06"/>
    <w:rsid w:val="004B00CA"/>
    <w:rsid w:val="004B16B6"/>
    <w:rsid w:val="004B4001"/>
    <w:rsid w:val="004B418A"/>
    <w:rsid w:val="004C02CA"/>
    <w:rsid w:val="004C236C"/>
    <w:rsid w:val="004C2F9C"/>
    <w:rsid w:val="004C3BFB"/>
    <w:rsid w:val="004C4939"/>
    <w:rsid w:val="004C56A7"/>
    <w:rsid w:val="004C5BA1"/>
    <w:rsid w:val="004C7D2F"/>
    <w:rsid w:val="004D0C30"/>
    <w:rsid w:val="004D4F4E"/>
    <w:rsid w:val="004D698A"/>
    <w:rsid w:val="004D720D"/>
    <w:rsid w:val="004E1169"/>
    <w:rsid w:val="004E23D2"/>
    <w:rsid w:val="004E2482"/>
    <w:rsid w:val="004E272F"/>
    <w:rsid w:val="004E5E87"/>
    <w:rsid w:val="004F0DAA"/>
    <w:rsid w:val="004F4408"/>
    <w:rsid w:val="004F4FD6"/>
    <w:rsid w:val="004F5A1A"/>
    <w:rsid w:val="004F6AE9"/>
    <w:rsid w:val="0050571F"/>
    <w:rsid w:val="00505805"/>
    <w:rsid w:val="00505AD2"/>
    <w:rsid w:val="00506816"/>
    <w:rsid w:val="00514932"/>
    <w:rsid w:val="00516FFB"/>
    <w:rsid w:val="00520184"/>
    <w:rsid w:val="005210DF"/>
    <w:rsid w:val="00523BE3"/>
    <w:rsid w:val="005248C6"/>
    <w:rsid w:val="00527B89"/>
    <w:rsid w:val="005328E2"/>
    <w:rsid w:val="00533F47"/>
    <w:rsid w:val="00537ACD"/>
    <w:rsid w:val="00553244"/>
    <w:rsid w:val="005546C0"/>
    <w:rsid w:val="005571DE"/>
    <w:rsid w:val="005635A0"/>
    <w:rsid w:val="005644A7"/>
    <w:rsid w:val="005645D4"/>
    <w:rsid w:val="005662E9"/>
    <w:rsid w:val="00567045"/>
    <w:rsid w:val="00570D04"/>
    <w:rsid w:val="00570F46"/>
    <w:rsid w:val="0057406B"/>
    <w:rsid w:val="00576AFF"/>
    <w:rsid w:val="00580999"/>
    <w:rsid w:val="0058536E"/>
    <w:rsid w:val="00587F96"/>
    <w:rsid w:val="00591D76"/>
    <w:rsid w:val="00592E11"/>
    <w:rsid w:val="005930D8"/>
    <w:rsid w:val="00595985"/>
    <w:rsid w:val="00597F65"/>
    <w:rsid w:val="005A7A60"/>
    <w:rsid w:val="005B0852"/>
    <w:rsid w:val="005B198D"/>
    <w:rsid w:val="005B44CC"/>
    <w:rsid w:val="005B45C6"/>
    <w:rsid w:val="005B5AEA"/>
    <w:rsid w:val="005C1001"/>
    <w:rsid w:val="005C2A1C"/>
    <w:rsid w:val="005C2D3D"/>
    <w:rsid w:val="005C40B4"/>
    <w:rsid w:val="005C437E"/>
    <w:rsid w:val="005C5191"/>
    <w:rsid w:val="005E0653"/>
    <w:rsid w:val="005E0BFD"/>
    <w:rsid w:val="005E21D8"/>
    <w:rsid w:val="005F0180"/>
    <w:rsid w:val="005F17BA"/>
    <w:rsid w:val="00600069"/>
    <w:rsid w:val="006004CC"/>
    <w:rsid w:val="006019B6"/>
    <w:rsid w:val="006027E0"/>
    <w:rsid w:val="006158D9"/>
    <w:rsid w:val="006161B6"/>
    <w:rsid w:val="006172D0"/>
    <w:rsid w:val="00623D08"/>
    <w:rsid w:val="00624A91"/>
    <w:rsid w:val="00624AEB"/>
    <w:rsid w:val="00625F20"/>
    <w:rsid w:val="0063069B"/>
    <w:rsid w:val="00632015"/>
    <w:rsid w:val="0063214D"/>
    <w:rsid w:val="006333D7"/>
    <w:rsid w:val="00635F1A"/>
    <w:rsid w:val="006369C8"/>
    <w:rsid w:val="0064010C"/>
    <w:rsid w:val="00644508"/>
    <w:rsid w:val="00644B70"/>
    <w:rsid w:val="00645BD5"/>
    <w:rsid w:val="00650729"/>
    <w:rsid w:val="00652497"/>
    <w:rsid w:val="00656BD8"/>
    <w:rsid w:val="006619E0"/>
    <w:rsid w:val="00662541"/>
    <w:rsid w:val="00663DE5"/>
    <w:rsid w:val="00664266"/>
    <w:rsid w:val="006642F5"/>
    <w:rsid w:val="00666F1C"/>
    <w:rsid w:val="00670F1D"/>
    <w:rsid w:val="00672471"/>
    <w:rsid w:val="006742EE"/>
    <w:rsid w:val="00674B7D"/>
    <w:rsid w:val="00676617"/>
    <w:rsid w:val="0067741F"/>
    <w:rsid w:val="00680029"/>
    <w:rsid w:val="00680758"/>
    <w:rsid w:val="00682C65"/>
    <w:rsid w:val="00682ED5"/>
    <w:rsid w:val="00684384"/>
    <w:rsid w:val="00684E53"/>
    <w:rsid w:val="00684F86"/>
    <w:rsid w:val="006861F4"/>
    <w:rsid w:val="00696ED6"/>
    <w:rsid w:val="006A0904"/>
    <w:rsid w:val="006A1094"/>
    <w:rsid w:val="006A5682"/>
    <w:rsid w:val="006A607D"/>
    <w:rsid w:val="006A6B13"/>
    <w:rsid w:val="006A79AA"/>
    <w:rsid w:val="006B611A"/>
    <w:rsid w:val="006B795F"/>
    <w:rsid w:val="006C367D"/>
    <w:rsid w:val="006C36B4"/>
    <w:rsid w:val="006C4B17"/>
    <w:rsid w:val="006C5852"/>
    <w:rsid w:val="006C5C90"/>
    <w:rsid w:val="006D30DC"/>
    <w:rsid w:val="006D5C8B"/>
    <w:rsid w:val="006E2C07"/>
    <w:rsid w:val="006E4804"/>
    <w:rsid w:val="006E61FD"/>
    <w:rsid w:val="006E7657"/>
    <w:rsid w:val="006E7979"/>
    <w:rsid w:val="006F0303"/>
    <w:rsid w:val="006F1F27"/>
    <w:rsid w:val="006F3A60"/>
    <w:rsid w:val="006F52F1"/>
    <w:rsid w:val="006F6755"/>
    <w:rsid w:val="007012B2"/>
    <w:rsid w:val="00701FC0"/>
    <w:rsid w:val="0070341A"/>
    <w:rsid w:val="00703F16"/>
    <w:rsid w:val="00706E87"/>
    <w:rsid w:val="00714E7D"/>
    <w:rsid w:val="00715A76"/>
    <w:rsid w:val="00717311"/>
    <w:rsid w:val="00720EC4"/>
    <w:rsid w:val="00723495"/>
    <w:rsid w:val="007239DC"/>
    <w:rsid w:val="00724F70"/>
    <w:rsid w:val="00724FE6"/>
    <w:rsid w:val="007279D1"/>
    <w:rsid w:val="00727C64"/>
    <w:rsid w:val="00735D70"/>
    <w:rsid w:val="00736726"/>
    <w:rsid w:val="00736D75"/>
    <w:rsid w:val="00737316"/>
    <w:rsid w:val="00737FDD"/>
    <w:rsid w:val="00740CAD"/>
    <w:rsid w:val="0074172E"/>
    <w:rsid w:val="007425D6"/>
    <w:rsid w:val="007463BA"/>
    <w:rsid w:val="00747020"/>
    <w:rsid w:val="00747ED0"/>
    <w:rsid w:val="0075002B"/>
    <w:rsid w:val="007530E0"/>
    <w:rsid w:val="00756955"/>
    <w:rsid w:val="00757196"/>
    <w:rsid w:val="007623AB"/>
    <w:rsid w:val="00762F01"/>
    <w:rsid w:val="007679FF"/>
    <w:rsid w:val="00770395"/>
    <w:rsid w:val="00770AEE"/>
    <w:rsid w:val="007720E2"/>
    <w:rsid w:val="0077749F"/>
    <w:rsid w:val="00777737"/>
    <w:rsid w:val="00777EDF"/>
    <w:rsid w:val="00786C9F"/>
    <w:rsid w:val="007915D9"/>
    <w:rsid w:val="00792936"/>
    <w:rsid w:val="007942C6"/>
    <w:rsid w:val="0079493B"/>
    <w:rsid w:val="00794EE3"/>
    <w:rsid w:val="007959F7"/>
    <w:rsid w:val="00795B6B"/>
    <w:rsid w:val="007972AC"/>
    <w:rsid w:val="0079755E"/>
    <w:rsid w:val="007A0450"/>
    <w:rsid w:val="007A05C2"/>
    <w:rsid w:val="007A1D1F"/>
    <w:rsid w:val="007A2528"/>
    <w:rsid w:val="007A3723"/>
    <w:rsid w:val="007B1C45"/>
    <w:rsid w:val="007B66F1"/>
    <w:rsid w:val="007C0D01"/>
    <w:rsid w:val="007C2D40"/>
    <w:rsid w:val="007C30C5"/>
    <w:rsid w:val="007C7B8D"/>
    <w:rsid w:val="007D5924"/>
    <w:rsid w:val="007E07EB"/>
    <w:rsid w:val="007E19DB"/>
    <w:rsid w:val="007E31C4"/>
    <w:rsid w:val="007E3A10"/>
    <w:rsid w:val="007E684D"/>
    <w:rsid w:val="007F2B84"/>
    <w:rsid w:val="007F5A9B"/>
    <w:rsid w:val="007F5CDB"/>
    <w:rsid w:val="007F65FC"/>
    <w:rsid w:val="00800198"/>
    <w:rsid w:val="008021CF"/>
    <w:rsid w:val="00807617"/>
    <w:rsid w:val="008102E7"/>
    <w:rsid w:val="00814004"/>
    <w:rsid w:val="00815F3B"/>
    <w:rsid w:val="00816E27"/>
    <w:rsid w:val="0082080B"/>
    <w:rsid w:val="00830AB8"/>
    <w:rsid w:val="00832CE5"/>
    <w:rsid w:val="00840921"/>
    <w:rsid w:val="008413C8"/>
    <w:rsid w:val="0084215D"/>
    <w:rsid w:val="00845913"/>
    <w:rsid w:val="00846A87"/>
    <w:rsid w:val="00851252"/>
    <w:rsid w:val="0085270E"/>
    <w:rsid w:val="00856469"/>
    <w:rsid w:val="00856ACA"/>
    <w:rsid w:val="00861F17"/>
    <w:rsid w:val="00863286"/>
    <w:rsid w:val="008635A9"/>
    <w:rsid w:val="00864262"/>
    <w:rsid w:val="00867CE2"/>
    <w:rsid w:val="008713B5"/>
    <w:rsid w:val="00872BCD"/>
    <w:rsid w:val="008809D4"/>
    <w:rsid w:val="008857D5"/>
    <w:rsid w:val="0089164C"/>
    <w:rsid w:val="00895677"/>
    <w:rsid w:val="008A254D"/>
    <w:rsid w:val="008B42F8"/>
    <w:rsid w:val="008B46B5"/>
    <w:rsid w:val="008C2717"/>
    <w:rsid w:val="008C2C73"/>
    <w:rsid w:val="008C3918"/>
    <w:rsid w:val="008C6B9D"/>
    <w:rsid w:val="008D07D1"/>
    <w:rsid w:val="008D1F5A"/>
    <w:rsid w:val="008D3700"/>
    <w:rsid w:val="008D402F"/>
    <w:rsid w:val="008D596C"/>
    <w:rsid w:val="008D6F75"/>
    <w:rsid w:val="008D6FFA"/>
    <w:rsid w:val="008D7DC5"/>
    <w:rsid w:val="008E25ED"/>
    <w:rsid w:val="008E2F31"/>
    <w:rsid w:val="008E3B8B"/>
    <w:rsid w:val="008F032A"/>
    <w:rsid w:val="008F21D7"/>
    <w:rsid w:val="008F30AA"/>
    <w:rsid w:val="008F31C8"/>
    <w:rsid w:val="008F7802"/>
    <w:rsid w:val="008F79F9"/>
    <w:rsid w:val="009010D9"/>
    <w:rsid w:val="0090378E"/>
    <w:rsid w:val="00904628"/>
    <w:rsid w:val="00904B0B"/>
    <w:rsid w:val="009065CD"/>
    <w:rsid w:val="009071FB"/>
    <w:rsid w:val="009078C2"/>
    <w:rsid w:val="0091647F"/>
    <w:rsid w:val="00917D51"/>
    <w:rsid w:val="00920EB4"/>
    <w:rsid w:val="0092119F"/>
    <w:rsid w:val="009223CB"/>
    <w:rsid w:val="00924D4C"/>
    <w:rsid w:val="0092620C"/>
    <w:rsid w:val="00926C5C"/>
    <w:rsid w:val="009271E3"/>
    <w:rsid w:val="00927792"/>
    <w:rsid w:val="0094203C"/>
    <w:rsid w:val="009422E6"/>
    <w:rsid w:val="00943E59"/>
    <w:rsid w:val="00945DB3"/>
    <w:rsid w:val="00946451"/>
    <w:rsid w:val="00947612"/>
    <w:rsid w:val="009558DF"/>
    <w:rsid w:val="00960553"/>
    <w:rsid w:val="009634F9"/>
    <w:rsid w:val="009657A1"/>
    <w:rsid w:val="00974153"/>
    <w:rsid w:val="009741C5"/>
    <w:rsid w:val="00980012"/>
    <w:rsid w:val="00980D78"/>
    <w:rsid w:val="00981372"/>
    <w:rsid w:val="009874FB"/>
    <w:rsid w:val="009877FB"/>
    <w:rsid w:val="00992029"/>
    <w:rsid w:val="009936A0"/>
    <w:rsid w:val="00993E34"/>
    <w:rsid w:val="009942ED"/>
    <w:rsid w:val="0099533E"/>
    <w:rsid w:val="00997A49"/>
    <w:rsid w:val="009A1696"/>
    <w:rsid w:val="009A2271"/>
    <w:rsid w:val="009A354A"/>
    <w:rsid w:val="009B079B"/>
    <w:rsid w:val="009B184A"/>
    <w:rsid w:val="009B5622"/>
    <w:rsid w:val="009B5BFA"/>
    <w:rsid w:val="009C1E18"/>
    <w:rsid w:val="009C21B9"/>
    <w:rsid w:val="009C49AA"/>
    <w:rsid w:val="009C62AE"/>
    <w:rsid w:val="009D2836"/>
    <w:rsid w:val="009D3C68"/>
    <w:rsid w:val="009D5B88"/>
    <w:rsid w:val="009E1B43"/>
    <w:rsid w:val="009E483C"/>
    <w:rsid w:val="009F04E1"/>
    <w:rsid w:val="009F09A0"/>
    <w:rsid w:val="009F0EF6"/>
    <w:rsid w:val="009F1044"/>
    <w:rsid w:val="009F304C"/>
    <w:rsid w:val="009F6B25"/>
    <w:rsid w:val="009F7F83"/>
    <w:rsid w:val="00A1074F"/>
    <w:rsid w:val="00A144A4"/>
    <w:rsid w:val="00A17584"/>
    <w:rsid w:val="00A20276"/>
    <w:rsid w:val="00A20EF6"/>
    <w:rsid w:val="00A23551"/>
    <w:rsid w:val="00A26B2F"/>
    <w:rsid w:val="00A30559"/>
    <w:rsid w:val="00A3170B"/>
    <w:rsid w:val="00A331B6"/>
    <w:rsid w:val="00A353B4"/>
    <w:rsid w:val="00A35D12"/>
    <w:rsid w:val="00A36E3A"/>
    <w:rsid w:val="00A40D21"/>
    <w:rsid w:val="00A416E1"/>
    <w:rsid w:val="00A45406"/>
    <w:rsid w:val="00A46173"/>
    <w:rsid w:val="00A46814"/>
    <w:rsid w:val="00A501D4"/>
    <w:rsid w:val="00A51E2A"/>
    <w:rsid w:val="00A526D9"/>
    <w:rsid w:val="00A52921"/>
    <w:rsid w:val="00A5518F"/>
    <w:rsid w:val="00A60929"/>
    <w:rsid w:val="00A61182"/>
    <w:rsid w:val="00A62BCA"/>
    <w:rsid w:val="00A62F6C"/>
    <w:rsid w:val="00A64F6D"/>
    <w:rsid w:val="00A67C4F"/>
    <w:rsid w:val="00A70C33"/>
    <w:rsid w:val="00A70F54"/>
    <w:rsid w:val="00A72E3F"/>
    <w:rsid w:val="00A763CC"/>
    <w:rsid w:val="00A83789"/>
    <w:rsid w:val="00A86981"/>
    <w:rsid w:val="00A93CE5"/>
    <w:rsid w:val="00A93F4C"/>
    <w:rsid w:val="00A95422"/>
    <w:rsid w:val="00A959E6"/>
    <w:rsid w:val="00A960D1"/>
    <w:rsid w:val="00A97583"/>
    <w:rsid w:val="00AA48ED"/>
    <w:rsid w:val="00AA4C3D"/>
    <w:rsid w:val="00AA56AB"/>
    <w:rsid w:val="00AB0D0F"/>
    <w:rsid w:val="00AC0287"/>
    <w:rsid w:val="00AC15A9"/>
    <w:rsid w:val="00AC240D"/>
    <w:rsid w:val="00AC413B"/>
    <w:rsid w:val="00AC5D8B"/>
    <w:rsid w:val="00AC7AA1"/>
    <w:rsid w:val="00AC7EF9"/>
    <w:rsid w:val="00AD045E"/>
    <w:rsid w:val="00AD1F3E"/>
    <w:rsid w:val="00AD2134"/>
    <w:rsid w:val="00AD2167"/>
    <w:rsid w:val="00AD2338"/>
    <w:rsid w:val="00AD65F7"/>
    <w:rsid w:val="00AE16A8"/>
    <w:rsid w:val="00AE2886"/>
    <w:rsid w:val="00AE3451"/>
    <w:rsid w:val="00AE4026"/>
    <w:rsid w:val="00AE616C"/>
    <w:rsid w:val="00AE7000"/>
    <w:rsid w:val="00AF0D77"/>
    <w:rsid w:val="00AF175D"/>
    <w:rsid w:val="00AF184E"/>
    <w:rsid w:val="00AF456A"/>
    <w:rsid w:val="00B017B5"/>
    <w:rsid w:val="00B07E42"/>
    <w:rsid w:val="00B116A5"/>
    <w:rsid w:val="00B11FD4"/>
    <w:rsid w:val="00B12B68"/>
    <w:rsid w:val="00B1471B"/>
    <w:rsid w:val="00B14BBC"/>
    <w:rsid w:val="00B15C75"/>
    <w:rsid w:val="00B2441B"/>
    <w:rsid w:val="00B24669"/>
    <w:rsid w:val="00B30D3F"/>
    <w:rsid w:val="00B31D99"/>
    <w:rsid w:val="00B32040"/>
    <w:rsid w:val="00B33456"/>
    <w:rsid w:val="00B340F0"/>
    <w:rsid w:val="00B408BC"/>
    <w:rsid w:val="00B411DD"/>
    <w:rsid w:val="00B42440"/>
    <w:rsid w:val="00B46A21"/>
    <w:rsid w:val="00B47851"/>
    <w:rsid w:val="00B5115B"/>
    <w:rsid w:val="00B512EB"/>
    <w:rsid w:val="00B52526"/>
    <w:rsid w:val="00B55947"/>
    <w:rsid w:val="00B57F44"/>
    <w:rsid w:val="00B60490"/>
    <w:rsid w:val="00B62C45"/>
    <w:rsid w:val="00B6353C"/>
    <w:rsid w:val="00B650C3"/>
    <w:rsid w:val="00B66712"/>
    <w:rsid w:val="00B66EF7"/>
    <w:rsid w:val="00B706A2"/>
    <w:rsid w:val="00B711A8"/>
    <w:rsid w:val="00B757FF"/>
    <w:rsid w:val="00B77C1B"/>
    <w:rsid w:val="00B77C38"/>
    <w:rsid w:val="00B843FB"/>
    <w:rsid w:val="00B8475C"/>
    <w:rsid w:val="00B853D2"/>
    <w:rsid w:val="00B855B3"/>
    <w:rsid w:val="00B8674A"/>
    <w:rsid w:val="00B92149"/>
    <w:rsid w:val="00B9284A"/>
    <w:rsid w:val="00B92A71"/>
    <w:rsid w:val="00B93044"/>
    <w:rsid w:val="00B946F4"/>
    <w:rsid w:val="00B94832"/>
    <w:rsid w:val="00B96F69"/>
    <w:rsid w:val="00BA0B4D"/>
    <w:rsid w:val="00BA6B9D"/>
    <w:rsid w:val="00BA773C"/>
    <w:rsid w:val="00BB3391"/>
    <w:rsid w:val="00BB61C3"/>
    <w:rsid w:val="00BC57E8"/>
    <w:rsid w:val="00BC7D21"/>
    <w:rsid w:val="00BD2B00"/>
    <w:rsid w:val="00BD2C35"/>
    <w:rsid w:val="00BD423D"/>
    <w:rsid w:val="00BD4AEA"/>
    <w:rsid w:val="00BD51E2"/>
    <w:rsid w:val="00BE0462"/>
    <w:rsid w:val="00BE1E07"/>
    <w:rsid w:val="00BE2273"/>
    <w:rsid w:val="00BE499C"/>
    <w:rsid w:val="00BE540B"/>
    <w:rsid w:val="00BF0EE1"/>
    <w:rsid w:val="00BF28D8"/>
    <w:rsid w:val="00BF2F57"/>
    <w:rsid w:val="00BF597B"/>
    <w:rsid w:val="00BF5A8F"/>
    <w:rsid w:val="00BF6787"/>
    <w:rsid w:val="00C049E1"/>
    <w:rsid w:val="00C05167"/>
    <w:rsid w:val="00C104EC"/>
    <w:rsid w:val="00C10FD6"/>
    <w:rsid w:val="00C11A21"/>
    <w:rsid w:val="00C13143"/>
    <w:rsid w:val="00C132F5"/>
    <w:rsid w:val="00C13F1E"/>
    <w:rsid w:val="00C14BD4"/>
    <w:rsid w:val="00C20060"/>
    <w:rsid w:val="00C20A7D"/>
    <w:rsid w:val="00C21531"/>
    <w:rsid w:val="00C22CB0"/>
    <w:rsid w:val="00C22DA0"/>
    <w:rsid w:val="00C2569F"/>
    <w:rsid w:val="00C26783"/>
    <w:rsid w:val="00C26ABA"/>
    <w:rsid w:val="00C34790"/>
    <w:rsid w:val="00C348F0"/>
    <w:rsid w:val="00C35B41"/>
    <w:rsid w:val="00C45EBE"/>
    <w:rsid w:val="00C479AE"/>
    <w:rsid w:val="00C5201E"/>
    <w:rsid w:val="00C623F0"/>
    <w:rsid w:val="00C644CD"/>
    <w:rsid w:val="00C65AD7"/>
    <w:rsid w:val="00C6684F"/>
    <w:rsid w:val="00C7340B"/>
    <w:rsid w:val="00C74052"/>
    <w:rsid w:val="00C77CE8"/>
    <w:rsid w:val="00C808F1"/>
    <w:rsid w:val="00C82900"/>
    <w:rsid w:val="00C82B95"/>
    <w:rsid w:val="00C82CF6"/>
    <w:rsid w:val="00C83977"/>
    <w:rsid w:val="00C83C46"/>
    <w:rsid w:val="00C8598D"/>
    <w:rsid w:val="00C867F0"/>
    <w:rsid w:val="00C86E6A"/>
    <w:rsid w:val="00C876F5"/>
    <w:rsid w:val="00C90482"/>
    <w:rsid w:val="00C91C80"/>
    <w:rsid w:val="00C94A81"/>
    <w:rsid w:val="00C9778E"/>
    <w:rsid w:val="00C97B5F"/>
    <w:rsid w:val="00CA1CF4"/>
    <w:rsid w:val="00CA20B0"/>
    <w:rsid w:val="00CA2303"/>
    <w:rsid w:val="00CA2705"/>
    <w:rsid w:val="00CA2967"/>
    <w:rsid w:val="00CA2DA9"/>
    <w:rsid w:val="00CA3508"/>
    <w:rsid w:val="00CA35DE"/>
    <w:rsid w:val="00CA404E"/>
    <w:rsid w:val="00CA5E3F"/>
    <w:rsid w:val="00CA6339"/>
    <w:rsid w:val="00CA6E79"/>
    <w:rsid w:val="00CB0257"/>
    <w:rsid w:val="00CB61FA"/>
    <w:rsid w:val="00CB6ECE"/>
    <w:rsid w:val="00CC0E5D"/>
    <w:rsid w:val="00CC0E6B"/>
    <w:rsid w:val="00CC23D6"/>
    <w:rsid w:val="00CC4938"/>
    <w:rsid w:val="00CC5368"/>
    <w:rsid w:val="00CD04AA"/>
    <w:rsid w:val="00CD0F01"/>
    <w:rsid w:val="00CD18F2"/>
    <w:rsid w:val="00CD433A"/>
    <w:rsid w:val="00CD4D4F"/>
    <w:rsid w:val="00CD6AE7"/>
    <w:rsid w:val="00CE3A7E"/>
    <w:rsid w:val="00CE5ABF"/>
    <w:rsid w:val="00CF0FEF"/>
    <w:rsid w:val="00CF351C"/>
    <w:rsid w:val="00CF5702"/>
    <w:rsid w:val="00CF6124"/>
    <w:rsid w:val="00D0260A"/>
    <w:rsid w:val="00D05780"/>
    <w:rsid w:val="00D11611"/>
    <w:rsid w:val="00D14C31"/>
    <w:rsid w:val="00D21CBA"/>
    <w:rsid w:val="00D222FF"/>
    <w:rsid w:val="00D233E4"/>
    <w:rsid w:val="00D3039E"/>
    <w:rsid w:val="00D32856"/>
    <w:rsid w:val="00D33A8E"/>
    <w:rsid w:val="00D34F20"/>
    <w:rsid w:val="00D408AD"/>
    <w:rsid w:val="00D4666A"/>
    <w:rsid w:val="00D47DAC"/>
    <w:rsid w:val="00D508C1"/>
    <w:rsid w:val="00D51461"/>
    <w:rsid w:val="00D53AEA"/>
    <w:rsid w:val="00D564A7"/>
    <w:rsid w:val="00D63D9A"/>
    <w:rsid w:val="00D664F8"/>
    <w:rsid w:val="00D672E4"/>
    <w:rsid w:val="00D7238D"/>
    <w:rsid w:val="00D74031"/>
    <w:rsid w:val="00D7449A"/>
    <w:rsid w:val="00D76A1F"/>
    <w:rsid w:val="00D77951"/>
    <w:rsid w:val="00D81DA0"/>
    <w:rsid w:val="00D82CEE"/>
    <w:rsid w:val="00D82EB5"/>
    <w:rsid w:val="00D848DE"/>
    <w:rsid w:val="00D85496"/>
    <w:rsid w:val="00D8594C"/>
    <w:rsid w:val="00D85B1B"/>
    <w:rsid w:val="00D87533"/>
    <w:rsid w:val="00D87DE3"/>
    <w:rsid w:val="00D905DE"/>
    <w:rsid w:val="00D907F0"/>
    <w:rsid w:val="00D946E6"/>
    <w:rsid w:val="00D95460"/>
    <w:rsid w:val="00D97B57"/>
    <w:rsid w:val="00DA1E57"/>
    <w:rsid w:val="00DA2781"/>
    <w:rsid w:val="00DA7B83"/>
    <w:rsid w:val="00DB1164"/>
    <w:rsid w:val="00DB1ACF"/>
    <w:rsid w:val="00DB1F38"/>
    <w:rsid w:val="00DB24B2"/>
    <w:rsid w:val="00DB2F6B"/>
    <w:rsid w:val="00DB57CB"/>
    <w:rsid w:val="00DC04A1"/>
    <w:rsid w:val="00DC18AA"/>
    <w:rsid w:val="00DC3C61"/>
    <w:rsid w:val="00DC4A90"/>
    <w:rsid w:val="00DC4DF8"/>
    <w:rsid w:val="00DD0356"/>
    <w:rsid w:val="00DD1485"/>
    <w:rsid w:val="00DD1622"/>
    <w:rsid w:val="00DD1FDF"/>
    <w:rsid w:val="00DD221D"/>
    <w:rsid w:val="00DD540B"/>
    <w:rsid w:val="00DD685B"/>
    <w:rsid w:val="00DD68DE"/>
    <w:rsid w:val="00DE1AB3"/>
    <w:rsid w:val="00DE545D"/>
    <w:rsid w:val="00DE619B"/>
    <w:rsid w:val="00DE702C"/>
    <w:rsid w:val="00DE7B53"/>
    <w:rsid w:val="00DF092B"/>
    <w:rsid w:val="00DF395F"/>
    <w:rsid w:val="00DF4FA8"/>
    <w:rsid w:val="00DF6157"/>
    <w:rsid w:val="00E00926"/>
    <w:rsid w:val="00E017F3"/>
    <w:rsid w:val="00E02529"/>
    <w:rsid w:val="00E05DB1"/>
    <w:rsid w:val="00E075C4"/>
    <w:rsid w:val="00E10EAC"/>
    <w:rsid w:val="00E14512"/>
    <w:rsid w:val="00E17E62"/>
    <w:rsid w:val="00E17EA7"/>
    <w:rsid w:val="00E23BA4"/>
    <w:rsid w:val="00E2460A"/>
    <w:rsid w:val="00E24F78"/>
    <w:rsid w:val="00E266C3"/>
    <w:rsid w:val="00E27A43"/>
    <w:rsid w:val="00E34AB6"/>
    <w:rsid w:val="00E44880"/>
    <w:rsid w:val="00E45A4C"/>
    <w:rsid w:val="00E52EEE"/>
    <w:rsid w:val="00E55A37"/>
    <w:rsid w:val="00E5673C"/>
    <w:rsid w:val="00E616CB"/>
    <w:rsid w:val="00E631C7"/>
    <w:rsid w:val="00E64117"/>
    <w:rsid w:val="00E672BD"/>
    <w:rsid w:val="00E673A0"/>
    <w:rsid w:val="00E713EF"/>
    <w:rsid w:val="00E72C22"/>
    <w:rsid w:val="00E7508D"/>
    <w:rsid w:val="00E751BC"/>
    <w:rsid w:val="00E75590"/>
    <w:rsid w:val="00E76C76"/>
    <w:rsid w:val="00E76F80"/>
    <w:rsid w:val="00E80DDC"/>
    <w:rsid w:val="00E80FAC"/>
    <w:rsid w:val="00E81904"/>
    <w:rsid w:val="00E904E9"/>
    <w:rsid w:val="00E91A75"/>
    <w:rsid w:val="00E9704A"/>
    <w:rsid w:val="00EA2B2D"/>
    <w:rsid w:val="00EA78A7"/>
    <w:rsid w:val="00EB110E"/>
    <w:rsid w:val="00EB1D1A"/>
    <w:rsid w:val="00EB46C5"/>
    <w:rsid w:val="00EB520F"/>
    <w:rsid w:val="00EB7FAE"/>
    <w:rsid w:val="00EC1801"/>
    <w:rsid w:val="00EC2D16"/>
    <w:rsid w:val="00EC3F96"/>
    <w:rsid w:val="00EC5668"/>
    <w:rsid w:val="00EC629C"/>
    <w:rsid w:val="00EC6CAF"/>
    <w:rsid w:val="00ED4428"/>
    <w:rsid w:val="00ED4958"/>
    <w:rsid w:val="00ED4DC0"/>
    <w:rsid w:val="00ED6098"/>
    <w:rsid w:val="00ED6C03"/>
    <w:rsid w:val="00ED7CB0"/>
    <w:rsid w:val="00EE2044"/>
    <w:rsid w:val="00EE2489"/>
    <w:rsid w:val="00EE3C88"/>
    <w:rsid w:val="00EE411B"/>
    <w:rsid w:val="00EE5B64"/>
    <w:rsid w:val="00EE62BB"/>
    <w:rsid w:val="00EF048A"/>
    <w:rsid w:val="00EF1A50"/>
    <w:rsid w:val="00EF3F12"/>
    <w:rsid w:val="00EF5BB7"/>
    <w:rsid w:val="00EF5D4C"/>
    <w:rsid w:val="00F02022"/>
    <w:rsid w:val="00F054C6"/>
    <w:rsid w:val="00F05DB9"/>
    <w:rsid w:val="00F10D8B"/>
    <w:rsid w:val="00F126A8"/>
    <w:rsid w:val="00F1511C"/>
    <w:rsid w:val="00F15EF3"/>
    <w:rsid w:val="00F167AD"/>
    <w:rsid w:val="00F167E1"/>
    <w:rsid w:val="00F16E82"/>
    <w:rsid w:val="00F1709A"/>
    <w:rsid w:val="00F20A21"/>
    <w:rsid w:val="00F22A2A"/>
    <w:rsid w:val="00F300E2"/>
    <w:rsid w:val="00F377D0"/>
    <w:rsid w:val="00F404C2"/>
    <w:rsid w:val="00F447B9"/>
    <w:rsid w:val="00F44947"/>
    <w:rsid w:val="00F510E8"/>
    <w:rsid w:val="00F51932"/>
    <w:rsid w:val="00F52372"/>
    <w:rsid w:val="00F53C78"/>
    <w:rsid w:val="00F5468F"/>
    <w:rsid w:val="00F55335"/>
    <w:rsid w:val="00F5674C"/>
    <w:rsid w:val="00F56B7C"/>
    <w:rsid w:val="00F6210E"/>
    <w:rsid w:val="00F62C7F"/>
    <w:rsid w:val="00F63BD1"/>
    <w:rsid w:val="00F63FF3"/>
    <w:rsid w:val="00F65774"/>
    <w:rsid w:val="00F6653B"/>
    <w:rsid w:val="00F66FB6"/>
    <w:rsid w:val="00F70D99"/>
    <w:rsid w:val="00F710A3"/>
    <w:rsid w:val="00F726F6"/>
    <w:rsid w:val="00F7356D"/>
    <w:rsid w:val="00F754F0"/>
    <w:rsid w:val="00F759BC"/>
    <w:rsid w:val="00F7723C"/>
    <w:rsid w:val="00F809FB"/>
    <w:rsid w:val="00F8191D"/>
    <w:rsid w:val="00F85C20"/>
    <w:rsid w:val="00F87818"/>
    <w:rsid w:val="00F87AD4"/>
    <w:rsid w:val="00F92634"/>
    <w:rsid w:val="00F96ACF"/>
    <w:rsid w:val="00F97832"/>
    <w:rsid w:val="00FA076D"/>
    <w:rsid w:val="00FA2819"/>
    <w:rsid w:val="00FA5B08"/>
    <w:rsid w:val="00FB1378"/>
    <w:rsid w:val="00FB5DC7"/>
    <w:rsid w:val="00FD14D5"/>
    <w:rsid w:val="00FD275F"/>
    <w:rsid w:val="00FD4386"/>
    <w:rsid w:val="00FE04DC"/>
    <w:rsid w:val="00FE0D5B"/>
    <w:rsid w:val="00FE5189"/>
    <w:rsid w:val="00FE6B36"/>
    <w:rsid w:val="00FF36F1"/>
    <w:rsid w:val="00FF59D4"/>
    <w:rsid w:val="00FF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724FB3"/>
  <w15:chartTrackingRefBased/>
  <w15:docId w15:val="{40854F4F-EC21-467C-AEEF-99733CB3A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783"/>
  </w:style>
  <w:style w:type="paragraph" w:styleId="Heading1">
    <w:name w:val="heading 1"/>
    <w:basedOn w:val="Normal"/>
    <w:next w:val="Normal"/>
    <w:link w:val="Heading1Char"/>
    <w:uiPriority w:val="9"/>
    <w:qFormat/>
    <w:rsid w:val="001B52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2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2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2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2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2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2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2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2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2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2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2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2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2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2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2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2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229"/>
    <w:rPr>
      <w:rFonts w:eastAsiaTheme="majorEastAsia" w:cstheme="majorBidi"/>
      <w:color w:val="272727" w:themeColor="text1" w:themeTint="D8"/>
    </w:rPr>
  </w:style>
  <w:style w:type="paragraph" w:styleId="Title">
    <w:name w:val="Title"/>
    <w:basedOn w:val="Normal"/>
    <w:next w:val="Normal"/>
    <w:link w:val="TitleChar"/>
    <w:uiPriority w:val="10"/>
    <w:qFormat/>
    <w:rsid w:val="001B52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2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2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2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229"/>
    <w:pPr>
      <w:spacing w:before="160"/>
      <w:jc w:val="center"/>
    </w:pPr>
    <w:rPr>
      <w:i/>
      <w:iCs/>
      <w:color w:val="404040" w:themeColor="text1" w:themeTint="BF"/>
    </w:rPr>
  </w:style>
  <w:style w:type="character" w:customStyle="1" w:styleId="QuoteChar">
    <w:name w:val="Quote Char"/>
    <w:basedOn w:val="DefaultParagraphFont"/>
    <w:link w:val="Quote"/>
    <w:uiPriority w:val="29"/>
    <w:rsid w:val="001B5229"/>
    <w:rPr>
      <w:i/>
      <w:iCs/>
      <w:color w:val="404040" w:themeColor="text1" w:themeTint="BF"/>
    </w:rPr>
  </w:style>
  <w:style w:type="paragraph" w:styleId="ListParagraph">
    <w:name w:val="List Paragraph"/>
    <w:basedOn w:val="Normal"/>
    <w:uiPriority w:val="34"/>
    <w:qFormat/>
    <w:rsid w:val="001B5229"/>
    <w:pPr>
      <w:ind w:left="720"/>
      <w:contextualSpacing/>
    </w:pPr>
  </w:style>
  <w:style w:type="character" w:styleId="IntenseEmphasis">
    <w:name w:val="Intense Emphasis"/>
    <w:basedOn w:val="DefaultParagraphFont"/>
    <w:uiPriority w:val="21"/>
    <w:qFormat/>
    <w:rsid w:val="001B5229"/>
    <w:rPr>
      <w:i/>
      <w:iCs/>
      <w:color w:val="0F4761" w:themeColor="accent1" w:themeShade="BF"/>
    </w:rPr>
  </w:style>
  <w:style w:type="paragraph" w:styleId="IntenseQuote">
    <w:name w:val="Intense Quote"/>
    <w:basedOn w:val="Normal"/>
    <w:next w:val="Normal"/>
    <w:link w:val="IntenseQuoteChar"/>
    <w:uiPriority w:val="30"/>
    <w:qFormat/>
    <w:rsid w:val="001B52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229"/>
    <w:rPr>
      <w:i/>
      <w:iCs/>
      <w:color w:val="0F4761" w:themeColor="accent1" w:themeShade="BF"/>
    </w:rPr>
  </w:style>
  <w:style w:type="character" w:styleId="IntenseReference">
    <w:name w:val="Intense Reference"/>
    <w:basedOn w:val="DefaultParagraphFont"/>
    <w:uiPriority w:val="32"/>
    <w:qFormat/>
    <w:rsid w:val="001B5229"/>
    <w:rPr>
      <w:b/>
      <w:bCs/>
      <w:smallCaps/>
      <w:color w:val="0F4761" w:themeColor="accent1" w:themeShade="BF"/>
      <w:spacing w:val="5"/>
    </w:rPr>
  </w:style>
  <w:style w:type="character" w:styleId="Hyperlink">
    <w:name w:val="Hyperlink"/>
    <w:basedOn w:val="DefaultParagraphFont"/>
    <w:uiPriority w:val="99"/>
    <w:unhideWhenUsed/>
    <w:rsid w:val="001B5229"/>
    <w:rPr>
      <w:color w:val="467886" w:themeColor="hyperlink"/>
      <w:u w:val="single"/>
    </w:rPr>
  </w:style>
  <w:style w:type="character" w:styleId="UnresolvedMention">
    <w:name w:val="Unresolved Mention"/>
    <w:basedOn w:val="DefaultParagraphFont"/>
    <w:uiPriority w:val="99"/>
    <w:semiHidden/>
    <w:unhideWhenUsed/>
    <w:rsid w:val="001B5229"/>
    <w:rPr>
      <w:color w:val="605E5C"/>
      <w:shd w:val="clear" w:color="auto" w:fill="E1DFDD"/>
    </w:rPr>
  </w:style>
  <w:style w:type="paragraph" w:styleId="Header">
    <w:name w:val="header"/>
    <w:basedOn w:val="Normal"/>
    <w:link w:val="HeaderChar"/>
    <w:uiPriority w:val="99"/>
    <w:unhideWhenUsed/>
    <w:rsid w:val="00D14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C31"/>
  </w:style>
  <w:style w:type="paragraph" w:styleId="Footer">
    <w:name w:val="footer"/>
    <w:basedOn w:val="Normal"/>
    <w:link w:val="FooterChar"/>
    <w:uiPriority w:val="99"/>
    <w:unhideWhenUsed/>
    <w:rsid w:val="00D14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C31"/>
  </w:style>
  <w:style w:type="paragraph" w:styleId="NoSpacing">
    <w:name w:val="No Spacing"/>
    <w:uiPriority w:val="1"/>
    <w:qFormat/>
    <w:rsid w:val="00D14C31"/>
    <w:pPr>
      <w:spacing w:after="0" w:line="240" w:lineRule="auto"/>
    </w:pPr>
    <w:rPr>
      <w:rFonts w:eastAsiaTheme="minorEastAsia"/>
      <w:kern w:val="0"/>
      <w:lang w:eastAsia="zh-CN"/>
      <w14:ligatures w14:val="none"/>
    </w:rPr>
  </w:style>
  <w:style w:type="character" w:styleId="CommentReference">
    <w:name w:val="annotation reference"/>
    <w:basedOn w:val="DefaultParagraphFont"/>
    <w:uiPriority w:val="99"/>
    <w:semiHidden/>
    <w:unhideWhenUsed/>
    <w:rsid w:val="004D0C30"/>
    <w:rPr>
      <w:sz w:val="16"/>
      <w:szCs w:val="16"/>
    </w:rPr>
  </w:style>
  <w:style w:type="paragraph" w:styleId="CommentText">
    <w:name w:val="annotation text"/>
    <w:basedOn w:val="Normal"/>
    <w:link w:val="CommentTextChar"/>
    <w:uiPriority w:val="99"/>
    <w:semiHidden/>
    <w:unhideWhenUsed/>
    <w:rsid w:val="004D0C30"/>
    <w:pPr>
      <w:spacing w:line="240" w:lineRule="auto"/>
    </w:pPr>
    <w:rPr>
      <w:sz w:val="20"/>
      <w:szCs w:val="20"/>
    </w:rPr>
  </w:style>
  <w:style w:type="character" w:customStyle="1" w:styleId="CommentTextChar">
    <w:name w:val="Comment Text Char"/>
    <w:basedOn w:val="DefaultParagraphFont"/>
    <w:link w:val="CommentText"/>
    <w:uiPriority w:val="99"/>
    <w:semiHidden/>
    <w:rsid w:val="004D0C30"/>
    <w:rPr>
      <w:sz w:val="20"/>
      <w:szCs w:val="20"/>
    </w:rPr>
  </w:style>
  <w:style w:type="paragraph" w:styleId="CommentSubject">
    <w:name w:val="annotation subject"/>
    <w:basedOn w:val="CommentText"/>
    <w:next w:val="CommentText"/>
    <w:link w:val="CommentSubjectChar"/>
    <w:uiPriority w:val="99"/>
    <w:semiHidden/>
    <w:unhideWhenUsed/>
    <w:rsid w:val="004D0C30"/>
    <w:rPr>
      <w:b/>
      <w:bCs/>
    </w:rPr>
  </w:style>
  <w:style w:type="character" w:customStyle="1" w:styleId="CommentSubjectChar">
    <w:name w:val="Comment Subject Char"/>
    <w:basedOn w:val="CommentTextChar"/>
    <w:link w:val="CommentSubject"/>
    <w:uiPriority w:val="99"/>
    <w:semiHidden/>
    <w:rsid w:val="004D0C30"/>
    <w:rPr>
      <w:b/>
      <w:bCs/>
      <w:sz w:val="20"/>
      <w:szCs w:val="20"/>
    </w:rPr>
  </w:style>
  <w:style w:type="table" w:styleId="TableGrid">
    <w:name w:val="Table Grid"/>
    <w:basedOn w:val="TableNormal"/>
    <w:uiPriority w:val="39"/>
    <w:rsid w:val="00B6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D4D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470593">
      <w:bodyDiv w:val="1"/>
      <w:marLeft w:val="0"/>
      <w:marRight w:val="0"/>
      <w:marTop w:val="0"/>
      <w:marBottom w:val="0"/>
      <w:divBdr>
        <w:top w:val="none" w:sz="0" w:space="0" w:color="auto"/>
        <w:left w:val="none" w:sz="0" w:space="0" w:color="auto"/>
        <w:bottom w:val="none" w:sz="0" w:space="0" w:color="auto"/>
        <w:right w:val="none" w:sz="0" w:space="0" w:color="auto"/>
      </w:divBdr>
    </w:div>
    <w:div w:id="745952230">
      <w:bodyDiv w:val="1"/>
      <w:marLeft w:val="0"/>
      <w:marRight w:val="0"/>
      <w:marTop w:val="0"/>
      <w:marBottom w:val="0"/>
      <w:divBdr>
        <w:top w:val="none" w:sz="0" w:space="0" w:color="auto"/>
        <w:left w:val="none" w:sz="0" w:space="0" w:color="auto"/>
        <w:bottom w:val="none" w:sz="0" w:space="0" w:color="auto"/>
        <w:right w:val="none" w:sz="0" w:space="0" w:color="auto"/>
      </w:divBdr>
      <w:divsChild>
        <w:div w:id="1285651386">
          <w:marLeft w:val="0"/>
          <w:marRight w:val="0"/>
          <w:marTop w:val="0"/>
          <w:marBottom w:val="0"/>
          <w:divBdr>
            <w:top w:val="none" w:sz="0" w:space="0" w:color="auto"/>
            <w:left w:val="none" w:sz="0" w:space="0" w:color="auto"/>
            <w:bottom w:val="none" w:sz="0" w:space="0" w:color="auto"/>
            <w:right w:val="none" w:sz="0" w:space="0" w:color="auto"/>
          </w:divBdr>
          <w:divsChild>
            <w:div w:id="1727099163">
              <w:marLeft w:val="0"/>
              <w:marRight w:val="0"/>
              <w:marTop w:val="0"/>
              <w:marBottom w:val="0"/>
              <w:divBdr>
                <w:top w:val="none" w:sz="0" w:space="0" w:color="auto"/>
                <w:left w:val="none" w:sz="0" w:space="0" w:color="auto"/>
                <w:bottom w:val="none" w:sz="0" w:space="0" w:color="auto"/>
                <w:right w:val="none" w:sz="0" w:space="0" w:color="auto"/>
              </w:divBdr>
              <w:divsChild>
                <w:div w:id="2021227378">
                  <w:marLeft w:val="0"/>
                  <w:marRight w:val="0"/>
                  <w:marTop w:val="0"/>
                  <w:marBottom w:val="0"/>
                  <w:divBdr>
                    <w:top w:val="none" w:sz="0" w:space="0" w:color="auto"/>
                    <w:left w:val="none" w:sz="0" w:space="0" w:color="auto"/>
                    <w:bottom w:val="none" w:sz="0" w:space="0" w:color="auto"/>
                    <w:right w:val="none" w:sz="0" w:space="0" w:color="auto"/>
                  </w:divBdr>
                  <w:divsChild>
                    <w:div w:id="12859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98185">
      <w:bodyDiv w:val="1"/>
      <w:marLeft w:val="0"/>
      <w:marRight w:val="0"/>
      <w:marTop w:val="0"/>
      <w:marBottom w:val="0"/>
      <w:divBdr>
        <w:top w:val="none" w:sz="0" w:space="0" w:color="auto"/>
        <w:left w:val="none" w:sz="0" w:space="0" w:color="auto"/>
        <w:bottom w:val="none" w:sz="0" w:space="0" w:color="auto"/>
        <w:right w:val="none" w:sz="0" w:space="0" w:color="auto"/>
      </w:divBdr>
    </w:div>
    <w:div w:id="1159662411">
      <w:bodyDiv w:val="1"/>
      <w:marLeft w:val="0"/>
      <w:marRight w:val="0"/>
      <w:marTop w:val="0"/>
      <w:marBottom w:val="0"/>
      <w:divBdr>
        <w:top w:val="none" w:sz="0" w:space="0" w:color="auto"/>
        <w:left w:val="none" w:sz="0" w:space="0" w:color="auto"/>
        <w:bottom w:val="none" w:sz="0" w:space="0" w:color="auto"/>
        <w:right w:val="none" w:sz="0" w:space="0" w:color="auto"/>
      </w:divBdr>
    </w:div>
    <w:div w:id="1219174061">
      <w:bodyDiv w:val="1"/>
      <w:marLeft w:val="0"/>
      <w:marRight w:val="0"/>
      <w:marTop w:val="0"/>
      <w:marBottom w:val="0"/>
      <w:divBdr>
        <w:top w:val="none" w:sz="0" w:space="0" w:color="auto"/>
        <w:left w:val="none" w:sz="0" w:space="0" w:color="auto"/>
        <w:bottom w:val="none" w:sz="0" w:space="0" w:color="auto"/>
        <w:right w:val="none" w:sz="0" w:space="0" w:color="auto"/>
      </w:divBdr>
    </w:div>
    <w:div w:id="1298952604">
      <w:bodyDiv w:val="1"/>
      <w:marLeft w:val="0"/>
      <w:marRight w:val="0"/>
      <w:marTop w:val="0"/>
      <w:marBottom w:val="0"/>
      <w:divBdr>
        <w:top w:val="none" w:sz="0" w:space="0" w:color="auto"/>
        <w:left w:val="none" w:sz="0" w:space="0" w:color="auto"/>
        <w:bottom w:val="none" w:sz="0" w:space="0" w:color="auto"/>
        <w:right w:val="none" w:sz="0" w:space="0" w:color="auto"/>
      </w:divBdr>
    </w:div>
    <w:div w:id="1311449035">
      <w:bodyDiv w:val="1"/>
      <w:marLeft w:val="0"/>
      <w:marRight w:val="0"/>
      <w:marTop w:val="0"/>
      <w:marBottom w:val="0"/>
      <w:divBdr>
        <w:top w:val="none" w:sz="0" w:space="0" w:color="auto"/>
        <w:left w:val="none" w:sz="0" w:space="0" w:color="auto"/>
        <w:bottom w:val="none" w:sz="0" w:space="0" w:color="auto"/>
        <w:right w:val="none" w:sz="0" w:space="0" w:color="auto"/>
      </w:divBdr>
    </w:div>
    <w:div w:id="1434207501">
      <w:bodyDiv w:val="1"/>
      <w:marLeft w:val="0"/>
      <w:marRight w:val="0"/>
      <w:marTop w:val="0"/>
      <w:marBottom w:val="0"/>
      <w:divBdr>
        <w:top w:val="none" w:sz="0" w:space="0" w:color="auto"/>
        <w:left w:val="none" w:sz="0" w:space="0" w:color="auto"/>
        <w:bottom w:val="none" w:sz="0" w:space="0" w:color="auto"/>
        <w:right w:val="none" w:sz="0" w:space="0" w:color="auto"/>
      </w:divBdr>
    </w:div>
    <w:div w:id="163363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US" b="1">
                <a:solidFill>
                  <a:sysClr val="windowText" lastClr="000000"/>
                </a:solidFill>
                <a:latin typeface="Garamond" panose="02020404030301010803" pitchFamily="18" charset="0"/>
              </a:rPr>
              <a:t>Ulta</a:t>
            </a:r>
            <a:r>
              <a:rPr lang="en-US" b="1" baseline="0">
                <a:solidFill>
                  <a:sysClr val="windowText" lastClr="000000"/>
                </a:solidFill>
                <a:latin typeface="Garamond" panose="02020404030301010803" pitchFamily="18" charset="0"/>
              </a:rPr>
              <a:t> Profit Margins Remain Consistent with Slight Growth</a:t>
            </a:r>
            <a:endParaRPr lang="en-US" b="1">
              <a:solidFill>
                <a:sysClr val="windowText" lastClr="000000"/>
              </a:solidFill>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lineChart>
        <c:grouping val="standard"/>
        <c:varyColors val="0"/>
        <c:ser>
          <c:idx val="0"/>
          <c:order val="0"/>
          <c:tx>
            <c:v>Gross Margin</c:v>
          </c:tx>
          <c:spPr>
            <a:ln w="28575" cap="rnd">
              <a:solidFill>
                <a:schemeClr val="accent2">
                  <a:shade val="65000"/>
                </a:schemeClr>
              </a:solidFill>
              <a:round/>
            </a:ln>
            <a:effectLst/>
          </c:spPr>
          <c:marker>
            <c:symbol val="circle"/>
            <c:size val="5"/>
            <c:spPr>
              <a:solidFill>
                <a:schemeClr val="accent2">
                  <a:shade val="65000"/>
                </a:schemeClr>
              </a:solidFill>
              <a:ln w="9525">
                <a:solidFill>
                  <a:schemeClr val="accent2">
                    <a:shade val="65000"/>
                  </a:schemeClr>
                </a:solidFill>
              </a:ln>
              <a:effectLst/>
            </c:spPr>
          </c:marker>
          <c:cat>
            <c:numRef>
              <c:f>'[Ulta valuation.xlsx]Sheet1'!$O$59:$O$71</c:f>
              <c:numCache>
                <c:formatCode>General</c:formatCode>
                <c:ptCount val="13"/>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numCache>
            </c:numRef>
          </c:cat>
          <c:val>
            <c:numRef>
              <c:f>'[Ulta valuation.xlsx]Sheet1'!$P$59:$P$71</c:f>
              <c:numCache>
                <c:formatCode>General</c:formatCode>
                <c:ptCount val="13"/>
                <c:pt idx="0">
                  <c:v>34.729999999999997</c:v>
                </c:pt>
                <c:pt idx="1">
                  <c:v>35.299999999999997</c:v>
                </c:pt>
                <c:pt idx="2">
                  <c:v>35.25</c:v>
                </c:pt>
                <c:pt idx="3">
                  <c:v>35.07</c:v>
                </c:pt>
                <c:pt idx="4">
                  <c:v>35.28</c:v>
                </c:pt>
                <c:pt idx="5">
                  <c:v>35.99</c:v>
                </c:pt>
                <c:pt idx="6">
                  <c:v>35.630000000000003</c:v>
                </c:pt>
                <c:pt idx="7">
                  <c:v>35.869999999999997</c:v>
                </c:pt>
                <c:pt idx="8">
                  <c:v>36.24</c:v>
                </c:pt>
                <c:pt idx="9">
                  <c:v>31.68</c:v>
                </c:pt>
                <c:pt idx="10">
                  <c:v>39.03</c:v>
                </c:pt>
                <c:pt idx="11">
                  <c:v>39.619999999999997</c:v>
                </c:pt>
                <c:pt idx="12">
                  <c:v>39.090000000000003</c:v>
                </c:pt>
              </c:numCache>
            </c:numRef>
          </c:val>
          <c:smooth val="0"/>
          <c:extLst>
            <c:ext xmlns:c16="http://schemas.microsoft.com/office/drawing/2014/chart" uri="{C3380CC4-5D6E-409C-BE32-E72D297353CC}">
              <c16:uniqueId val="{00000000-5B96-4657-BD13-E55DF852068B}"/>
            </c:ext>
          </c:extLst>
        </c:ser>
        <c:ser>
          <c:idx val="1"/>
          <c:order val="1"/>
          <c:tx>
            <c:v>Operating Margin</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'[Ulta valuation.xlsx]Sheet1'!$O$59:$O$71</c:f>
              <c:numCache>
                <c:formatCode>General</c:formatCode>
                <c:ptCount val="13"/>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numCache>
            </c:numRef>
          </c:cat>
          <c:val>
            <c:numRef>
              <c:f>'[Ulta valuation.xlsx]Sheet1'!$P$87:$P$99</c:f>
              <c:numCache>
                <c:formatCode>General</c:formatCode>
                <c:ptCount val="13"/>
                <c:pt idx="0">
                  <c:v>11.61</c:v>
                </c:pt>
                <c:pt idx="1">
                  <c:v>13.28</c:v>
                </c:pt>
                <c:pt idx="2">
                  <c:v>12.91</c:v>
                </c:pt>
                <c:pt idx="3">
                  <c:v>13.1</c:v>
                </c:pt>
                <c:pt idx="4">
                  <c:v>13.28</c:v>
                </c:pt>
                <c:pt idx="5">
                  <c:v>13.87</c:v>
                </c:pt>
                <c:pt idx="6">
                  <c:v>13.76</c:v>
                </c:pt>
                <c:pt idx="7">
                  <c:v>13.01</c:v>
                </c:pt>
                <c:pt idx="8">
                  <c:v>12.44</c:v>
                </c:pt>
                <c:pt idx="9">
                  <c:v>5.95</c:v>
                </c:pt>
                <c:pt idx="10">
                  <c:v>15.14</c:v>
                </c:pt>
                <c:pt idx="11">
                  <c:v>16.16</c:v>
                </c:pt>
                <c:pt idx="12">
                  <c:v>15.05</c:v>
                </c:pt>
              </c:numCache>
            </c:numRef>
          </c:val>
          <c:smooth val="0"/>
          <c:extLst>
            <c:ext xmlns:c16="http://schemas.microsoft.com/office/drawing/2014/chart" uri="{C3380CC4-5D6E-409C-BE32-E72D297353CC}">
              <c16:uniqueId val="{00000001-5B96-4657-BD13-E55DF852068B}"/>
            </c:ext>
          </c:extLst>
        </c:ser>
        <c:ser>
          <c:idx val="2"/>
          <c:order val="2"/>
          <c:tx>
            <c:v>Profit Margin</c:v>
          </c:tx>
          <c:spPr>
            <a:ln w="28575" cap="rnd">
              <a:solidFill>
                <a:schemeClr val="accent2">
                  <a:tint val="65000"/>
                </a:schemeClr>
              </a:solidFill>
              <a:round/>
            </a:ln>
            <a:effectLst/>
          </c:spPr>
          <c:marker>
            <c:symbol val="circle"/>
            <c:size val="5"/>
            <c:spPr>
              <a:solidFill>
                <a:schemeClr val="accent2">
                  <a:tint val="65000"/>
                </a:schemeClr>
              </a:solidFill>
              <a:ln w="9525">
                <a:solidFill>
                  <a:schemeClr val="accent2">
                    <a:tint val="65000"/>
                  </a:schemeClr>
                </a:solidFill>
              </a:ln>
              <a:effectLst/>
            </c:spPr>
          </c:marker>
          <c:cat>
            <c:numRef>
              <c:f>'[Ulta valuation.xlsx]Sheet1'!$O$59:$O$71</c:f>
              <c:numCache>
                <c:formatCode>General</c:formatCode>
                <c:ptCount val="13"/>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numCache>
            </c:numRef>
          </c:cat>
          <c:val>
            <c:numRef>
              <c:f>'[Ulta valuation.xlsx]Sheet1'!$P$129:$P$141</c:f>
              <c:numCache>
                <c:formatCode>General</c:formatCode>
                <c:ptCount val="13"/>
                <c:pt idx="0">
                  <c:v>6.77</c:v>
                </c:pt>
                <c:pt idx="1">
                  <c:v>7.77</c:v>
                </c:pt>
                <c:pt idx="2">
                  <c:v>7.6</c:v>
                </c:pt>
                <c:pt idx="3">
                  <c:v>7.93</c:v>
                </c:pt>
                <c:pt idx="4">
                  <c:v>8.15</c:v>
                </c:pt>
                <c:pt idx="5">
                  <c:v>8.44</c:v>
                </c:pt>
                <c:pt idx="6">
                  <c:v>9.44</c:v>
                </c:pt>
                <c:pt idx="7">
                  <c:v>9.8000000000000007</c:v>
                </c:pt>
                <c:pt idx="8">
                  <c:v>9.5399999999999991</c:v>
                </c:pt>
                <c:pt idx="9">
                  <c:v>2.86</c:v>
                </c:pt>
                <c:pt idx="10">
                  <c:v>11.42</c:v>
                </c:pt>
                <c:pt idx="11">
                  <c:v>12.17</c:v>
                </c:pt>
                <c:pt idx="12">
                  <c:v>11.52</c:v>
                </c:pt>
              </c:numCache>
            </c:numRef>
          </c:val>
          <c:smooth val="0"/>
          <c:extLst>
            <c:ext xmlns:c16="http://schemas.microsoft.com/office/drawing/2014/chart" uri="{C3380CC4-5D6E-409C-BE32-E72D297353CC}">
              <c16:uniqueId val="{00000002-5B96-4657-BD13-E55DF852068B}"/>
            </c:ext>
          </c:extLst>
        </c:ser>
        <c:dLbls>
          <c:showLegendKey val="0"/>
          <c:showVal val="0"/>
          <c:showCatName val="0"/>
          <c:showSerName val="0"/>
          <c:showPercent val="0"/>
          <c:showBubbleSize val="0"/>
        </c:dLbls>
        <c:marker val="1"/>
        <c:smooth val="0"/>
        <c:axId val="10465504"/>
        <c:axId val="10465984"/>
      </c:lineChart>
      <c:catAx>
        <c:axId val="1046550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Year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0465984"/>
        <c:crosses val="autoZero"/>
        <c:auto val="1"/>
        <c:lblAlgn val="ctr"/>
        <c:lblOffset val="100"/>
        <c:noMultiLvlLbl val="0"/>
      </c:catAx>
      <c:valAx>
        <c:axId val="1046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Percentage</a:t>
                </a:r>
                <a:r>
                  <a:rPr lang="en-US" baseline="0">
                    <a:solidFill>
                      <a:sysClr val="windowText" lastClr="000000"/>
                    </a:solidFill>
                  </a:rPr>
                  <a:t> of Revenue (%)</a:t>
                </a:r>
                <a:endParaRPr lang="en-US">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0465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28972-6274-410F-B11A-C5D133E81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11</Pages>
  <Words>3835</Words>
  <Characters>20919</Characters>
  <Application>Microsoft Office Word</Application>
  <DocSecurity>0</DocSecurity>
  <Lines>346</Lines>
  <Paragraphs>148</Paragraphs>
  <ScaleCrop>false</ScaleCrop>
  <HeadingPairs>
    <vt:vector size="2" baseType="variant">
      <vt:variant>
        <vt:lpstr>Title</vt:lpstr>
      </vt:variant>
      <vt:variant>
        <vt:i4>1</vt:i4>
      </vt:variant>
    </vt:vector>
  </HeadingPairs>
  <TitlesOfParts>
    <vt:vector size="1" baseType="lpstr">
      <vt:lpstr/>
    </vt:vector>
  </TitlesOfParts>
  <Company>Baird</Company>
  <LinksUpToDate>false</LinksUpToDate>
  <CharactersWithSpaces>24634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Simon</dc:creator>
  <cp:keywords/>
  <dc:description/>
  <cp:lastModifiedBy>Brown, Simon</cp:lastModifiedBy>
  <cp:revision>137</cp:revision>
  <cp:lastPrinted>2024-07-26T16:46:00Z</cp:lastPrinted>
  <dcterms:created xsi:type="dcterms:W3CDTF">2024-07-17T14:48:00Z</dcterms:created>
  <dcterms:modified xsi:type="dcterms:W3CDTF">2024-07-30T14:20:00Z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3cd598951496a33bdeb26f87d850a9503ec8b2cc281733d9d1a5e704d21d1232</vt:lpwstr>
  </property>
</Properties>
</file>