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2"/>
        </w:rPr>
        <w:t>FACULTAD DE DERECHO Y CIENCIAS POLÍTICAS — PROGRAMA DERECHO</w:t>
      </w:r>
    </w:p>
    <w:p>
      <w:pPr>
        <w:spacing w:after="40"/>
        <w:jc w:val="center"/>
      </w:pPr>
      <w:r>
        <w:rPr>
          <w:b/>
          <w:sz w:val="24"/>
        </w:rPr>
        <w:t>CONTROL DE ATENCIÓN A LAS OBSERVACIONES DE LA EVALUACIÓN ESCRITA</w:t>
      </w:r>
    </w:p>
    <w:p>
      <w:pPr>
        <w:spacing w:after="200"/>
        <w:jc w:val="center"/>
      </w:pPr>
      <w:r>
        <w:rPr>
          <w:b w:val="0"/>
          <w:sz w:val="20"/>
        </w:rPr>
        <w:t>Anexo 2 — Motivación de la Evaluación</w:t>
      </w:r>
    </w:p>
    <w:p>
      <w:pPr>
        <w:spacing w:after="40"/>
        <w:jc w:val="left"/>
      </w:pPr>
      <w:r>
        <w:rPr>
          <w:b w:val="0"/>
          <w:sz w:val="20"/>
        </w:rPr>
        <w:t>Trabajo: Revisión documental de los instrumentos de política pública para la regulación del turismo y la prevención de la explotación sexual comercial de niñas, niños y adolescentes en la comuna 14 de Medellín</w:t>
      </w:r>
    </w:p>
    <w:p>
      <w:pPr>
        <w:spacing w:after="40"/>
        <w:jc w:val="left"/>
      </w:pPr>
      <w:r>
        <w:rPr>
          <w:b w:val="0"/>
          <w:sz w:val="20"/>
        </w:rPr>
        <w:t>Autores: Angie Mildrey Arias Vásquez, Eliana Arteaga Ortiz y Kevin Arroyave González</w:t>
      </w:r>
    </w:p>
    <w:p>
      <w:pPr>
        <w:spacing w:after="240"/>
        <w:jc w:val="left"/>
      </w:pPr>
      <w:r>
        <w:rPr>
          <w:b w:val="0"/>
          <w:sz w:val="20"/>
        </w:rPr>
        <w:t>Fecha de la evaluación: 09/09/2026 · Decisión: aceptado para sustentar con envío previo</w:t>
      </w:r>
    </w:p>
    <w:p>
      <w:pPr>
        <w:spacing w:after="80"/>
        <w:jc w:val="left"/>
      </w:pPr>
      <w:r>
        <w:rPr>
          <w:b/>
          <w:sz w:val="22"/>
        </w:rPr>
        <w:t>R2. Título y resumen</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Procurar usar de forma uniforme la expresión y aclarar antes de las siglas cómo se entiende ESCNNA.</w:t>
            </w:r>
          </w:p>
        </w:tc>
        <w:tc>
          <w:tcPr>
            <w:tcW w:type="dxa" w:w="1814"/>
          </w:tcPr>
          <w:p>
            <w:pPr>
              <w:jc w:val="both"/>
            </w:pPr>
            <w:r/>
            <w:r>
              <w:rPr>
                <w:sz w:val="18"/>
              </w:rPr>
              <w:t>Título y Resumen</w:t>
            </w:r>
          </w:p>
        </w:tc>
        <w:tc>
          <w:tcPr>
            <w:tcW w:type="dxa" w:w="7143"/>
          </w:tcPr>
          <w:p>
            <w:pPr>
              <w:jc w:val="both"/>
            </w:pPr>
            <w:r/>
            <w:r>
              <w:rPr>
                <w:sz w:val="18"/>
              </w:rPr>
              <w:t>El título desarrolla la expresión completa. El resumen abre así: «La explotación sexual comercial de niñas, niños y adolescentes (ESCNNA) es una forma extrema de violencia contra la infancia…». Se retiró del artículo la variante «explotación sexual comercial infantil» y la sigla se usa de forma uniforme en las 31 apariciones restantes.</w:t>
            </w:r>
          </w:p>
        </w:tc>
      </w:tr>
      <w:tr>
        <w:tc>
          <w:tcPr>
            <w:tcW w:type="dxa" w:w="4252"/>
          </w:tcPr>
          <w:p>
            <w:pPr>
              <w:jc w:val="both"/>
            </w:pPr>
            <w:r/>
            <w:r>
              <w:rPr>
                <w:sz w:val="18"/>
              </w:rPr>
              <w:t>El título manifiesta ser un análisis de la implementación; eso exigiría evidencia sobre acciones ejecutadas, cobertura, inspecciones o controles, y el artículo tiene evidencias insuficientes.</w:t>
            </w:r>
          </w:p>
        </w:tc>
        <w:tc>
          <w:tcPr>
            <w:tcW w:type="dxa" w:w="1814"/>
          </w:tcPr>
          <w:p>
            <w:pPr>
              <w:jc w:val="both"/>
            </w:pPr>
            <w:r/>
            <w:r>
              <w:rPr>
                <w:sz w:val="18"/>
              </w:rPr>
              <w:t>Título</w:t>
            </w:r>
          </w:p>
        </w:tc>
        <w:tc>
          <w:tcPr>
            <w:tcW w:type="dxa" w:w="7143"/>
          </w:tcPr>
          <w:p>
            <w:pPr>
              <w:jc w:val="both"/>
            </w:pPr>
            <w:r/>
            <w:r>
              <w:rPr>
                <w:sz w:val="18"/>
              </w:rPr>
              <w:t>El título se reformuló y ya no anuncia un análisis de la implementación: «Revisión documental de los instrumentos de política pública para la regulación del turismo y la prevención de la explotación sexual comercial de niñas, niños y adolescentes en la comuna 14 de Medellín». Conserva el campo regulatorio, el fenómeno y el territorio, y enuncia el diseño efectivamente ejecutado.</w:t>
            </w:r>
          </w:p>
        </w:tc>
      </w:tr>
      <w:tr>
        <w:tc>
          <w:tcPr>
            <w:tcW w:type="dxa" w:w="4252"/>
          </w:tcPr>
          <w:p>
            <w:pPr>
              <w:jc w:val="both"/>
            </w:pPr>
            <w:r/>
            <w:r>
              <w:rPr>
                <w:sz w:val="18"/>
              </w:rPr>
              <w:t>El resumen tiene buena estructura; se recomienda sujetarse a los lineamientos institucionales de 15 líneas.</w:t>
            </w:r>
          </w:p>
        </w:tc>
        <w:tc>
          <w:tcPr>
            <w:tcW w:type="dxa" w:w="1814"/>
          </w:tcPr>
          <w:p>
            <w:pPr>
              <w:jc w:val="both"/>
            </w:pPr>
            <w:r/>
            <w:r>
              <w:rPr>
                <w:sz w:val="18"/>
              </w:rPr>
              <w:t>Resumen</w:t>
            </w:r>
          </w:p>
        </w:tc>
        <w:tc>
          <w:tcPr>
            <w:tcW w:type="dxa" w:w="7143"/>
          </w:tcPr>
          <w:p>
            <w:pPr>
              <w:jc w:val="both"/>
            </w:pPr>
            <w:r/>
            <w:r>
              <w:rPr>
                <w:sz w:val="18"/>
              </w:rPr>
              <w:t>El resumen se reescribió y quedó en 14,4 líneas (1.365 caracteres sobre un ancho útil de 16,51 cm). El abstract se ajustó en la misma proporción.</w:t>
            </w:r>
          </w:p>
        </w:tc>
      </w:tr>
      <w:tr>
        <w:tc>
          <w:tcPr>
            <w:tcW w:type="dxa" w:w="4252"/>
          </w:tcPr>
          <w:p>
            <w:pPr>
              <w:jc w:val="both"/>
            </w:pPr>
            <w:r/>
            <w:r>
              <w:rPr>
                <w:sz w:val="18"/>
              </w:rPr>
              <w:t>Cuidado con frases como «el auge turístico que vive Medellín… ha tenido, entre otras consecuencias, el recrudecimiento…»; se recomienda que haya un nexo y una verificación entre la fuente y el porqué se afirma.</w:t>
            </w:r>
          </w:p>
        </w:tc>
        <w:tc>
          <w:tcPr>
            <w:tcW w:type="dxa" w:w="1814"/>
          </w:tcPr>
          <w:p>
            <w:pPr>
              <w:jc w:val="both"/>
            </w:pPr>
            <w:r/>
            <w:r>
              <w:rPr>
                <w:sz w:val="18"/>
              </w:rPr>
              <w:t>Resumen</w:t>
            </w:r>
          </w:p>
        </w:tc>
        <w:tc>
          <w:tcPr>
            <w:tcW w:type="dxa" w:w="7143"/>
          </w:tcPr>
          <w:p>
            <w:pPr>
              <w:jc w:val="both"/>
            </w:pPr>
            <w:r/>
            <w:r>
              <w:rPr>
                <w:sz w:val="18"/>
              </w:rPr>
              <w:t>La afirmación se eliminó. En su lugar el riesgo territorial se enuncia con respaldo verificable: «Los informes institucionales sitúan a El Poblado, comuna 14 de Medellín, entre las zonas de mayor exposición, por su densidad hotelera, su alojamiento de renta corta y su vida nocturna (Alcaldía de Medellín, 2021; Fundación Renacer, 2020)».</w:t>
            </w:r>
          </w:p>
        </w:tc>
      </w:tr>
    </w:tbl>
    <w:p>
      <w:pPr>
        <w:spacing w:after="160"/>
      </w:pPr>
    </w:p>
    <w:p>
      <w:pPr>
        <w:spacing w:after="80"/>
        <w:jc w:val="left"/>
      </w:pPr>
      <w:r>
        <w:rPr>
          <w:b/>
          <w:sz w:val="22"/>
        </w:rPr>
        <w:t>R3. Introducción</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Se recomienda fortalecer en la introducción una incorporación del estado del arte, haciendo referencia a los hallazgos y citación correspondiente.</w:t>
            </w:r>
          </w:p>
        </w:tc>
        <w:tc>
          <w:tcPr>
            <w:tcW w:type="dxa" w:w="1814"/>
          </w:tcPr>
          <w:p>
            <w:pPr>
              <w:jc w:val="both"/>
            </w:pPr>
            <w:r/>
            <w:r>
              <w:rPr>
                <w:sz w:val="18"/>
              </w:rPr>
              <w:t>1. Introducción (párrafo 17)</w:t>
            </w:r>
          </w:p>
        </w:tc>
        <w:tc>
          <w:tcPr>
            <w:tcW w:type="dxa" w:w="7143"/>
          </w:tcPr>
          <w:p>
            <w:pPr>
              <w:jc w:val="both"/>
            </w:pPr>
            <w:r/>
            <w:r>
              <w:rPr>
                <w:sz w:val="18"/>
              </w:rPr>
              <w:t>Se añadió un párrafo completo de estado del arte que recorre lo publicado sobre Medellín (Alcaldía de Medellín, 2021; Fundación Renacer, 2020; ECPAT International, 2018) y cierra declarando el vacío: «Ninguno de esos trabajos sistematiza en conjunto las competencias institucionales concurrentes y los instrumentos regulatorios que rigen el territorio, ni examina de corrido las normas nacionales y las municipales expedidas entre 2015 y 2021».</w:t>
            </w:r>
          </w:p>
        </w:tc>
      </w:tr>
    </w:tbl>
    <w:p>
      <w:pPr>
        <w:spacing w:after="160"/>
      </w:pPr>
    </w:p>
    <w:p>
      <w:pPr>
        <w:spacing w:after="80"/>
        <w:jc w:val="left"/>
      </w:pPr>
      <w:r>
        <w:rPr>
          <w:b/>
          <w:sz w:val="22"/>
        </w:rPr>
        <w:t>R4. Metodología</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El objetivo general incorpora 3 elementos de alta exigencia: eficacia práctica, brechas institucionales y repartición efectiva de responsabilidades; eso requiere un indicador y categoría de análisis que no se encuentra de forma suficiente en la metodología.</w:t>
            </w:r>
          </w:p>
        </w:tc>
        <w:tc>
          <w:tcPr>
            <w:tcW w:type="dxa" w:w="1814"/>
          </w:tcPr>
          <w:p>
            <w:pPr>
              <w:jc w:val="both"/>
            </w:pPr>
            <w:r/>
            <w:r>
              <w:rPr>
                <w:sz w:val="18"/>
              </w:rPr>
              <w:t>1. Introducción (párrafo 18)</w:t>
            </w:r>
          </w:p>
        </w:tc>
        <w:tc>
          <w:tcPr>
            <w:tcW w:type="dxa" w:w="7143"/>
          </w:tcPr>
          <w:p>
            <w:pPr>
              <w:jc w:val="both"/>
            </w:pPr>
            <w:r/>
            <w:r>
              <w:rPr>
                <w:sz w:val="18"/>
              </w:rPr>
              <w:t>El objetivo general se reformuló a términos alcanzables con revisión documental: «identificar y sistematizar, mediante revisión documental, los instrumentos normativos e institucionales de regulación turística orientados a prevenir la ESCNNA que resultan aplicables a la comuna 14 de Medellín, junto con la evidencia documental disponible sobre su aplicación entre 2019 y 2024». El párrafo declara además el límite: «tampoco pretende medir su eficacia: eso exigiría un diseño de investigación distinto».</w:t>
            </w:r>
          </w:p>
        </w:tc>
      </w:tr>
      <w:tr>
        <w:tc>
          <w:tcPr>
            <w:tcW w:type="dxa" w:w="4252"/>
          </w:tcPr>
          <w:p>
            <w:pPr>
              <w:jc w:val="both"/>
            </w:pPr>
            <w:r/>
            <w:r>
              <w:rPr>
                <w:sz w:val="18"/>
              </w:rPr>
              <w:t>No se identifican de forma taxativa los objetivos específicos.</w:t>
            </w:r>
          </w:p>
        </w:tc>
        <w:tc>
          <w:tcPr>
            <w:tcW w:type="dxa" w:w="1814"/>
          </w:tcPr>
          <w:p>
            <w:pPr>
              <w:jc w:val="both"/>
            </w:pPr>
            <w:r/>
            <w:r>
              <w:rPr>
                <w:sz w:val="18"/>
              </w:rPr>
              <w:t>1. Introducción (párrafo 18)</w:t>
            </w:r>
          </w:p>
        </w:tc>
        <w:tc>
          <w:tcPr>
            <w:tcW w:type="dxa" w:w="7143"/>
          </w:tcPr>
          <w:p>
            <w:pPr>
              <w:jc w:val="both"/>
            </w:pPr>
            <w:r/>
            <w:r>
              <w:rPr>
                <w:sz w:val="18"/>
              </w:rPr>
              <w:t>Se enuncian tres, uno por uno: «El primero, describir la evolución normativa y jurisprudencial colombiana en materia de protección frente a la ESCNNA. El segundo, identificar los instrumentos de política pública nacional y municipal que vinculan la regulación del turismo con la prevención de la ESCNNA, señalando las entidades competentes en cada caso. El tercero, contrastar esos instrumentos con la evidencia documental disponible sobre su aplicación en la comuna 14». Cada uno corresponde a un apartado de resultados: 3.1, 3.2 y 3.3.</w:t>
            </w:r>
          </w:p>
        </w:tc>
      </w:tr>
      <w:tr>
        <w:tc>
          <w:tcPr>
            <w:tcW w:type="dxa" w:w="4252"/>
          </w:tcPr>
          <w:p>
            <w:pPr>
              <w:jc w:val="both"/>
            </w:pPr>
            <w:r/>
            <w:r>
              <w:rPr>
                <w:sz w:val="18"/>
              </w:rPr>
              <w:t>Al incorporar una revisión sistemática es imperativo describir bases de datos, repositorios, descriptores, número de resultados, selección, codificación y evaluación de calidad. Podrían escribir que fue una revisión analítica de fuentes normativas, jurisprudenciales, institucionales y académicas.</w:t>
            </w:r>
          </w:p>
        </w:tc>
        <w:tc>
          <w:tcPr>
            <w:tcW w:type="dxa" w:w="1814"/>
          </w:tcPr>
          <w:p>
            <w:pPr>
              <w:jc w:val="both"/>
            </w:pPr>
            <w:r/>
            <w:r>
              <w:rPr>
                <w:sz w:val="18"/>
              </w:rPr>
              <w:t>2. Metodología</w:t>
            </w:r>
          </w:p>
        </w:tc>
        <w:tc>
          <w:tcPr>
            <w:tcW w:type="dxa" w:w="7143"/>
          </w:tcPr>
          <w:p>
            <w:pPr>
              <w:jc w:val="both"/>
            </w:pPr>
            <w:r/>
            <w:r>
              <w:rPr>
                <w:sz w:val="18"/>
              </w:rPr>
              <w:t>Se adoptó la fórmula sugerida: «El rastreo documental no se presenta aquí como una revisión sistemática en sentido estricto, sino como una revisión analítica de fuentes normativas, jurisprudenciales, institucionales y académicas». Se describen además los repositorios consultados (SUIN, Gestor Normativo, Gaceta Oficial del Municipio de Medellín, portal del MinCIT, Corte Constitucional, Corte Suprema, SciELO, Redalyc, Dialnet), los descriptores booleanos y los criterios de inclusión y exclusión.</w:t>
            </w:r>
          </w:p>
        </w:tc>
      </w:tr>
      <w:tr>
        <w:tc>
          <w:tcPr>
            <w:tcW w:type="dxa" w:w="4252"/>
          </w:tcPr>
          <w:p>
            <w:pPr>
              <w:jc w:val="both"/>
            </w:pPr>
            <w:r/>
            <w:r>
              <w:rPr>
                <w:sz w:val="18"/>
              </w:rPr>
              <w:t>La triangulación requiere determinar qué se comparó y bajo qué categorías; para ello es pertinente realizar una matriz.</w:t>
            </w:r>
          </w:p>
        </w:tc>
        <w:tc>
          <w:tcPr>
            <w:tcW w:type="dxa" w:w="1814"/>
          </w:tcPr>
          <w:p>
            <w:pPr>
              <w:jc w:val="both"/>
            </w:pPr>
            <w:r/>
            <w:r>
              <w:rPr>
                <w:sz w:val="18"/>
              </w:rPr>
              <w:t>2. Metodología</w:t>
            </w:r>
          </w:p>
        </w:tc>
        <w:tc>
          <w:tcPr>
            <w:tcW w:type="dxa" w:w="7143"/>
          </w:tcPr>
          <w:p>
            <w:pPr>
              <w:jc w:val="both"/>
            </w:pPr>
            <w:r/>
            <w:r>
              <w:rPr>
                <w:sz w:val="18"/>
              </w:rPr>
              <w:t>Se incorporó un párrafo con la matriz de análisis documental y sus cuatro categorías (instrumentos regulatorios, competencias institucionales, mecanismos de inspección y vigilancia, dispositivos de denuncia y atención), y se explica el procedimiento: «La triangulación se practicó dentro de esa matriz. Cada instrumento regulatorio se contrastó con lo que los informes institucionales reportan sobre su aplicación y con lo que la literatura académica señala sobre sus límites».</w:t>
            </w:r>
          </w:p>
        </w:tc>
      </w:tr>
      <w:tr>
        <w:tc>
          <w:tcPr>
            <w:tcW w:type="dxa" w:w="4252"/>
          </w:tcPr>
          <w:p>
            <w:pPr>
              <w:jc w:val="both"/>
            </w:pPr>
            <w:r/>
            <w:r>
              <w:rPr>
                <w:sz w:val="18"/>
              </w:rPr>
              <w:t>Me preocupa lo de la «carga ética»; se quedan cortos por este elemento y acá podrían sustentar muy bien el elemento territorial de El Poblado.</w:t>
            </w:r>
          </w:p>
        </w:tc>
        <w:tc>
          <w:tcPr>
            <w:tcW w:type="dxa" w:w="1814"/>
          </w:tcPr>
          <w:p>
            <w:pPr>
              <w:jc w:val="both"/>
            </w:pPr>
            <w:r/>
            <w:r>
              <w:rPr>
                <w:sz w:val="18"/>
              </w:rPr>
              <w:t>2. Metodología y 3.3</w:t>
            </w:r>
          </w:p>
        </w:tc>
        <w:tc>
          <w:tcPr>
            <w:tcW w:type="dxa" w:w="7143"/>
          </w:tcPr>
          <w:p>
            <w:pPr>
              <w:jc w:val="both"/>
            </w:pPr>
            <w:r/>
            <w:r>
              <w:rPr>
                <w:sz w:val="18"/>
              </w:rPr>
              <w:t>Se eliminó por completo el argumento de la carga ética. El alcance se declara ahora como una decisión de diseño: «El alcance del estudio quedó delimitado a propósito: se trata de una revisión documental y sus conclusiones se refieren al contenido de las fuentes secundarias examinadas». El elemento territorial se sustenta en el apartado 3.3 con tres criterios documentales de selección de la comuna 14.</w:t>
            </w:r>
          </w:p>
        </w:tc>
      </w:tr>
    </w:tbl>
    <w:p>
      <w:pPr>
        <w:spacing w:after="160"/>
      </w:pPr>
    </w:p>
    <w:p>
      <w:pPr>
        <w:spacing w:after="80"/>
        <w:jc w:val="left"/>
      </w:pPr>
      <w:r>
        <w:rPr>
          <w:b/>
          <w:sz w:val="22"/>
        </w:rPr>
        <w:t>R5. Desarrollo del trabajo</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En la cifra ofrecida como 23.612 es importante advertir que metodológicamente no es un indicador de prevalencia de ESCNNA, sino que se utiliza como contexto de vulneración de NNA.</w:t>
            </w:r>
          </w:p>
        </w:tc>
        <w:tc>
          <w:tcPr>
            <w:tcW w:type="dxa" w:w="1814"/>
          </w:tcPr>
          <w:p>
            <w:pPr>
              <w:jc w:val="both"/>
            </w:pPr>
            <w:r/>
            <w:r>
              <w:rPr>
                <w:sz w:val="18"/>
              </w:rPr>
              <w:t>3.1</w:t>
            </w:r>
          </w:p>
        </w:tc>
        <w:tc>
          <w:tcPr>
            <w:tcW w:type="dxa" w:w="7143"/>
          </w:tcPr>
          <w:p>
            <w:pPr>
              <w:jc w:val="both"/>
            </w:pPr>
            <w:r/>
            <w:r>
              <w:rPr>
                <w:sz w:val="18"/>
              </w:rPr>
              <w:t>Se añadió la advertencia literal: «En el plano metodológico hay que advertir algo: la cifra de 23.612 corresponde a valoraciones por presunto abuso sexual y no constituye un indicador de prevalencia de la ESCNNA; se emplea aquí únicamente como contexto de la vulneración de los derechos de niñas, niños y adolescentes en el país». Se extendió la misma cautela a los 180 casos, por el subregistro.</w:t>
            </w:r>
          </w:p>
        </w:tc>
      </w:tr>
      <w:tr>
        <w:tc>
          <w:tcPr>
            <w:tcW w:type="dxa" w:w="4252"/>
          </w:tcPr>
          <w:p>
            <w:pPr>
              <w:jc w:val="both"/>
            </w:pPr>
            <w:r/>
            <w:r>
              <w:rPr>
                <w:sz w:val="18"/>
              </w:rPr>
              <w:t>CORRECCIÓN OBLIGATORIA: «el ICBF (2018) documentó que, entre 2019 y 2023, superaron los 1.700 los menores que ingresaron a Procesos»; es imposible que un documento del 2018 manifieste qué pasó en 2023.</w:t>
            </w:r>
          </w:p>
        </w:tc>
        <w:tc>
          <w:tcPr>
            <w:tcW w:type="dxa" w:w="1814"/>
          </w:tcPr>
          <w:p>
            <w:pPr>
              <w:jc w:val="both"/>
            </w:pPr>
            <w:r/>
            <w:r>
              <w:rPr>
                <w:sz w:val="18"/>
              </w:rPr>
              <w:t>3.1</w:t>
            </w:r>
          </w:p>
        </w:tc>
        <w:tc>
          <w:tcPr>
            <w:tcW w:type="dxa" w:w="7143"/>
          </w:tcPr>
          <w:p>
            <w:pPr>
              <w:jc w:val="both"/>
            </w:pPr>
            <w:r/>
            <w:r>
              <w:rPr>
                <w:sz w:val="18"/>
              </w:rPr>
              <w:t>El dato se eliminó, junto con la cifra de 1.700. El ICBF (2018) se cita ahora solo por lo que efectivamente es: «el Instituto Colombiano de Bienestar Familiar (2018) fijó la ruta decenal de prevención y erradicación del fenómeno y estableció el restablecimiento de derechos como respuesta institucional obligatoria ante cada caso detectado».</w:t>
            </w:r>
          </w:p>
        </w:tc>
      </w:tr>
      <w:tr>
        <w:tc>
          <w:tcPr>
            <w:tcW w:type="dxa" w:w="4252"/>
          </w:tcPr>
          <w:p>
            <w:pPr>
              <w:jc w:val="both"/>
            </w:pPr>
            <w:r/>
            <w:r>
              <w:rPr>
                <w:sz w:val="18"/>
              </w:rPr>
              <w:t>Me preocupa afirmar que existe un crecimiento, pues la brecha es de 2020-2025 pero solo se proporciona claridad de aumento en 2023. Podrían afirmar que hay persistencia.</w:t>
            </w:r>
          </w:p>
        </w:tc>
        <w:tc>
          <w:tcPr>
            <w:tcW w:type="dxa" w:w="1814"/>
          </w:tcPr>
          <w:p>
            <w:pPr>
              <w:jc w:val="both"/>
            </w:pPr>
            <w:r/>
            <w:r>
              <w:rPr>
                <w:sz w:val="18"/>
              </w:rPr>
              <w:t>3.1</w:t>
            </w:r>
          </w:p>
        </w:tc>
        <w:tc>
          <w:tcPr>
            <w:tcW w:type="dxa" w:w="7143"/>
          </w:tcPr>
          <w:p>
            <w:pPr>
              <w:jc w:val="both"/>
            </w:pPr>
            <w:r/>
            <w:r>
              <w:rPr>
                <w:sz w:val="18"/>
              </w:rPr>
              <w:t>Se adoptó el término sugerido y se alineó el periodo con la metodología (2019-2024): «Los registros institucionales del periodo examinado no muestran un descenso del fenómeno, sino su persistencia». Se retiró la ventana 2020-2025.</w:t>
            </w:r>
          </w:p>
        </w:tc>
      </w:tr>
      <w:tr>
        <w:tc>
          <w:tcPr>
            <w:tcW w:type="dxa" w:w="4252"/>
          </w:tcPr>
          <w:p>
            <w:pPr>
              <w:jc w:val="both"/>
            </w:pPr>
            <w:r/>
            <w:r>
              <w:rPr>
                <w:sz w:val="18"/>
              </w:rPr>
              <w:t>Ojo con el nombre del CONPES y su contenido, pues es para sistema de responsabilidad penal y parece ser usado como elemento de política nacional de ESCNNA.</w:t>
            </w:r>
          </w:p>
        </w:tc>
        <w:tc>
          <w:tcPr>
            <w:tcW w:type="dxa" w:w="1814"/>
          </w:tcPr>
          <w:p>
            <w:pPr>
              <w:jc w:val="both"/>
            </w:pPr>
            <w:r/>
            <w:r>
              <w:rPr>
                <w:sz w:val="18"/>
              </w:rPr>
              <w:t>3.2 y 1. Introducción</w:t>
            </w:r>
          </w:p>
        </w:tc>
        <w:tc>
          <w:tcPr>
            <w:tcW w:type="dxa" w:w="7143"/>
          </w:tcPr>
          <w:p>
            <w:pPr>
              <w:jc w:val="both"/>
            </w:pPr>
            <w:r/>
            <w:r>
              <w:rPr>
                <w:sz w:val="18"/>
              </w:rPr>
              <w:t>La observación era acertada y el artículo ahora lo advierte de forma expresa: «Conviene precisarlo, porque el Documento CONPES 3629 del 2009, citado con frecuencia en este campo, se ocupa en realidad del Sistema de Responsabilidad Penal para Adolescentes y no de la política nacional frente a la ESCNNA». Se retiró de la introducción, de las conclusiones y de la bibliografía.</w:t>
            </w:r>
          </w:p>
        </w:tc>
      </w:tr>
      <w:tr>
        <w:tc>
          <w:tcPr>
            <w:tcW w:type="dxa" w:w="4252"/>
          </w:tcPr>
          <w:p>
            <w:pPr>
              <w:jc w:val="both"/>
            </w:pPr>
            <w:r/>
            <w:r>
              <w:rPr>
                <w:sz w:val="18"/>
              </w:rPr>
              <w:t>Fortalezcan la Línea de Política Pública para la Prevención y Erradicación de la ESCNNA 2018-2028 del ICBF.</w:t>
            </w:r>
          </w:p>
        </w:tc>
        <w:tc>
          <w:tcPr>
            <w:tcW w:type="dxa" w:w="1814"/>
          </w:tcPr>
          <w:p>
            <w:pPr>
              <w:jc w:val="both"/>
            </w:pPr>
            <w:r/>
            <w:r>
              <w:rPr>
                <w:sz w:val="18"/>
              </w:rPr>
              <w:t>3.2 (y 1, 3.1, 5)</w:t>
            </w:r>
          </w:p>
        </w:tc>
        <w:tc>
          <w:tcPr>
            <w:tcW w:type="dxa" w:w="7143"/>
          </w:tcPr>
          <w:p>
            <w:pPr>
              <w:jc w:val="both"/>
            </w:pPr>
            <w:r/>
            <w:r>
              <w:rPr>
                <w:sz w:val="18"/>
              </w:rPr>
              <w:t>Pasó a ser el instrumento rector, en el lugar que ocupaba el CONPES: «A nivel de política pública nacional, el instrumento rector en la materia es la Línea de Política Pública para la Prevención y Erradicación de la Explotación Sexual Comercial de Niñas, Niños y Adolescentes 2018 a 2028, adoptada por el Instituto Colombiano de Bienestar Familiar (2018)». Se describe su definición del fenómeno y sus ejes, y se cita en seis lugares del artículo.</w:t>
            </w:r>
          </w:p>
        </w:tc>
      </w:tr>
      <w:tr>
        <w:tc>
          <w:tcPr>
            <w:tcW w:type="dxa" w:w="4252"/>
          </w:tcPr>
          <w:p>
            <w:pPr>
              <w:jc w:val="both"/>
            </w:pPr>
            <w:r/>
            <w:r>
              <w:rPr>
                <w:sz w:val="18"/>
              </w:rPr>
              <w:t>Ojo con el capítulo de «incidencia de la implementación», puesto que incidencia hace referencia a un efecto y metodológicamente no pueden sustentarlo; sería mejor una «evidencia documental sobre la implementación…».</w:t>
            </w:r>
          </w:p>
        </w:tc>
        <w:tc>
          <w:tcPr>
            <w:tcW w:type="dxa" w:w="1814"/>
          </w:tcPr>
          <w:p>
            <w:pPr>
              <w:jc w:val="both"/>
            </w:pPr>
            <w:r/>
            <w:r>
              <w:rPr>
                <w:sz w:val="18"/>
              </w:rPr>
              <w:t>3.3</w:t>
            </w:r>
          </w:p>
        </w:tc>
        <w:tc>
          <w:tcPr>
            <w:tcW w:type="dxa" w:w="7143"/>
          </w:tcPr>
          <w:p>
            <w:pPr>
              <w:jc w:val="both"/>
            </w:pPr>
            <w:r/>
            <w:r>
              <w:rPr>
                <w:sz w:val="18"/>
              </w:rPr>
              <w:t>Se adoptó literalmente la fórmula propuesta. El apartado se titula «3.3. Evidencia documental sobre la implementación de las políticas públicas en la comuna 14 de Medellín» y la palabra «incidencia» no aparece ya en el cuerpo del artículo.</w:t>
            </w:r>
          </w:p>
        </w:tc>
      </w:tr>
      <w:tr>
        <w:tc>
          <w:tcPr>
            <w:tcW w:type="dxa" w:w="4252"/>
          </w:tcPr>
          <w:p>
            <w:pPr>
              <w:jc w:val="both"/>
            </w:pPr>
            <w:r/>
            <w:r>
              <w:rPr>
                <w:sz w:val="18"/>
              </w:rPr>
              <w:t>El Poblado es más escenario que objeto de estudio; la revisión documental no está suficientemente delimitada, el análisis sigue siendo de Medellín; deberían explicitar más esa incidencia en ese territorio.</w:t>
            </w:r>
          </w:p>
        </w:tc>
        <w:tc>
          <w:tcPr>
            <w:tcW w:type="dxa" w:w="1814"/>
          </w:tcPr>
          <w:p>
            <w:pPr>
              <w:jc w:val="both"/>
            </w:pPr>
            <w:r/>
            <w:r>
              <w:rPr>
                <w:sz w:val="18"/>
              </w:rPr>
              <w:t>3.3</w:t>
            </w:r>
          </w:p>
        </w:tc>
        <w:tc>
          <w:tcPr>
            <w:tcW w:type="dxa" w:w="7143"/>
          </w:tcPr>
          <w:p>
            <w:pPr>
              <w:jc w:val="both"/>
            </w:pPr>
            <w:r/>
            <w:r>
              <w:rPr>
                <w:sz w:val="18"/>
              </w:rPr>
              <w:t>Se añadió un párrafo de delimitación con criterios verificables: «Su selección obedece a tres criterios verificables en las fuentes revisadas: concentra la mayor oferta de alojamiento formal e informal de la ciudad; es una de las tres áreas que la Alcaldía de Medellín (2021) identifica expresamente como críticas…». Se declara también el límite real de las fuentes: «Los informes oficiales de inspección, vigilancia y sanción del sector turístico se publican agregados a escala municipal y no permiten aislar cifras por comuna», y se precisa que la comuna 14 opera «como referente territorial del análisis y no como simple ejemplo ilustrativo».</w:t>
            </w:r>
          </w:p>
        </w:tc>
      </w:tr>
    </w:tbl>
    <w:p>
      <w:pPr>
        <w:spacing w:after="160"/>
      </w:pPr>
    </w:p>
    <w:p>
      <w:pPr>
        <w:spacing w:after="80"/>
        <w:jc w:val="left"/>
      </w:pPr>
      <w:r>
        <w:rPr>
          <w:b/>
          <w:sz w:val="22"/>
        </w:rPr>
        <w:t>R6. Apoyo teórico</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Revisar la Ley 2068 de 2020 y el Decreto 1836 de 2021, puesto que se manifiestan dificultades en temas de turismo con plataformas y esta norma dedica una atención especial a ello.</w:t>
            </w:r>
          </w:p>
        </w:tc>
        <w:tc>
          <w:tcPr>
            <w:tcW w:type="dxa" w:w="1814"/>
          </w:tcPr>
          <w:p>
            <w:pPr>
              <w:jc w:val="both"/>
            </w:pPr>
            <w:r/>
            <w:r>
              <w:rPr>
                <w:sz w:val="18"/>
              </w:rPr>
              <w:t>3.2</w:t>
            </w:r>
          </w:p>
        </w:tc>
        <w:tc>
          <w:tcPr>
            <w:tcW w:type="dxa" w:w="7143"/>
          </w:tcPr>
          <w:p>
            <w:pPr>
              <w:jc w:val="both"/>
            </w:pPr>
            <w:r/>
            <w:r>
              <w:rPr>
                <w:sz w:val="18"/>
              </w:rPr>
              <w:t>Se incorporaron en un párrafo propio: «El artículo 38 sometió a las plataformas electrónicas o digitales de servicios turísticos a un régimen propio de obligaciones y condicionó su operación a la inscripción en el Registro Nacional de Turismo». Se desarrollan también el refuerzo de campañas y control en materia de ESCNNA, la tarjeta de registro de alojamiento y las obligaciones que el Decreto 1836 de 2021 impone a las plataformas.</w:t>
            </w:r>
          </w:p>
        </w:tc>
      </w:tr>
      <w:tr>
        <w:tc>
          <w:tcPr>
            <w:tcW w:type="dxa" w:w="4252"/>
          </w:tcPr>
          <w:p>
            <w:pPr>
              <w:jc w:val="both"/>
            </w:pPr>
            <w:r/>
            <w:r>
              <w:rPr>
                <w:sz w:val="18"/>
              </w:rPr>
              <w:t>Existe omisión de normas locales: en la política de turismo hay una reglamentación del Decreto 0328 de 2019 y el Decreto 0758 de 2020. Esta omisión es preocupante pues toca directamente con los resultados.</w:t>
            </w:r>
          </w:p>
        </w:tc>
        <w:tc>
          <w:tcPr>
            <w:tcW w:type="dxa" w:w="1814"/>
          </w:tcPr>
          <w:p>
            <w:pPr>
              <w:jc w:val="both"/>
            </w:pPr>
            <w:r/>
            <w:r>
              <w:rPr>
                <w:sz w:val="18"/>
              </w:rPr>
              <w:t>3.2 y 3.3</w:t>
            </w:r>
          </w:p>
        </w:tc>
        <w:tc>
          <w:tcPr>
            <w:tcW w:type="dxa" w:w="7143"/>
          </w:tcPr>
          <w:p>
            <w:pPr>
              <w:jc w:val="both"/>
            </w:pPr>
            <w:r/>
            <w:r>
              <w:rPr>
                <w:sz w:val="18"/>
              </w:rPr>
              <w:t>Ambos decretos se incorporaron en 3.2 con sus cuatro líneas de acción, y se retomaron en 3.3 convirtiendo la omisión en un hallazgo del estudio: «Los Decretos 0328 del 2019 y 0758 del 2020, que son los que reglamentan la política de turismo y ordenan sus líneas de acción, no mencionan la ESCNNA ni fijan indicadores de prevención (Alcaldía de Medellín, 2019, 2020). La comuna 14 queda así cubierta por deberes de fuente nacional, exigibles a los prestadores, pero sin un desarrollo municipal que los aterrice en la planeación turística del destino».</w:t>
            </w:r>
          </w:p>
        </w:tc>
      </w:tr>
    </w:tbl>
    <w:p>
      <w:pPr>
        <w:spacing w:after="160"/>
      </w:pPr>
    </w:p>
    <w:p>
      <w:pPr>
        <w:spacing w:after="80"/>
        <w:jc w:val="left"/>
      </w:pPr>
      <w:r>
        <w:rPr>
          <w:b/>
          <w:sz w:val="22"/>
        </w:rPr>
        <w:t>R8. Conclusiones</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Ojo con la conclusión de la densidad regulatoria; hablen mejor de persistencia y de los instrumentos regulatorios.</w:t>
            </w:r>
          </w:p>
        </w:tc>
        <w:tc>
          <w:tcPr>
            <w:tcW w:type="dxa" w:w="1814"/>
          </w:tcPr>
          <w:p>
            <w:pPr>
              <w:jc w:val="both"/>
            </w:pPr>
            <w:r/>
            <w:r>
              <w:rPr>
                <w:sz w:val="18"/>
              </w:rPr>
              <w:t>5. Conclusiones y 4. Discusión</w:t>
            </w:r>
          </w:p>
        </w:tc>
        <w:tc>
          <w:tcPr>
            <w:tcW w:type="dxa" w:w="7143"/>
          </w:tcPr>
          <w:p>
            <w:pPr>
              <w:jc w:val="both"/>
            </w:pPr>
            <w:r/>
            <w:r>
              <w:rPr>
                <w:sz w:val="18"/>
              </w:rPr>
              <w:t>Se retiró la expresión «densidad regulatoria» de todo el cuerpo. La conclusión se reescribió: «Los informes institucionales del periodo examinado, sin embargo, no registran un descenso del fenómeno, sino su persistencia; y la reglamentación municipal de la política de turismo, que es el instrumento llamado a aterrizar esos estándares en el territorio, no incorpora expresamente la prevención de la ESCNNA entre sus líneas de acción».</w:t>
            </w:r>
          </w:p>
        </w:tc>
      </w:tr>
    </w:tbl>
    <w:p>
      <w:pPr>
        <w:spacing w:after="160"/>
      </w:pPr>
    </w:p>
    <w:p>
      <w:pPr>
        <w:spacing w:after="80"/>
        <w:jc w:val="left"/>
      </w:pPr>
      <w:r>
        <w:rPr>
          <w:b/>
          <w:sz w:val="22"/>
        </w:rPr>
        <w:t>R9. Bibliografía</w:t>
      </w:r>
    </w:p>
    <w:tbl>
      <w:tblPr>
        <w:tblStyle w:val="TableGrid"/>
        <w:tblW w:type="auto" w:w="0"/>
        <w:tblLayout w:type="fixed"/>
        <w:tblLook w:firstColumn="1" w:firstRow="1" w:lastColumn="0" w:lastRow="0" w:noHBand="0" w:noVBand="1" w:val="04A0"/>
      </w:tblPr>
      <w:tblGrid>
        <w:gridCol w:w="4524"/>
        <w:gridCol w:w="4524"/>
        <w:gridCol w:w="4524"/>
      </w:tblGrid>
      <w:tr>
        <w:tc>
          <w:tcPr>
            <w:tcW w:type="dxa" w:w="4252"/>
          </w:tcPr>
          <w:p>
            <w:r/>
            <w:r>
              <w:rPr>
                <w:b/>
                <w:sz w:val="18"/>
              </w:rPr>
              <w:t>Observación del evaluador</w:t>
            </w:r>
          </w:p>
        </w:tc>
        <w:tc>
          <w:tcPr>
            <w:tcW w:type="dxa" w:w="1814"/>
          </w:tcPr>
          <w:p>
            <w:r/>
            <w:r>
              <w:rPr>
                <w:b/>
                <w:sz w:val="18"/>
              </w:rPr>
              <w:t>Apartado</w:t>
            </w:r>
          </w:p>
        </w:tc>
        <w:tc>
          <w:tcPr>
            <w:tcW w:type="dxa" w:w="7143"/>
          </w:tcPr>
          <w:p>
            <w:r/>
            <w:r>
              <w:rPr>
                <w:b/>
                <w:sz w:val="18"/>
              </w:rPr>
              <w:t>Texto con el que se atendió</w:t>
            </w:r>
          </w:p>
        </w:tc>
      </w:tr>
      <w:tr>
        <w:tc>
          <w:tcPr>
            <w:tcW w:type="dxa" w:w="4252"/>
          </w:tcPr>
          <w:p>
            <w:pPr>
              <w:jc w:val="both"/>
            </w:pPr>
            <w:r/>
            <w:r>
              <w:rPr>
                <w:sz w:val="18"/>
              </w:rPr>
              <w:t>Por favor revisar la cita de Alcaldía de Medellín (2022), Explotación sexual comercial de niños, niñas y adolescentes asociada al turismo, pues me arroja que la fecha es diversa.</w:t>
            </w:r>
          </w:p>
        </w:tc>
        <w:tc>
          <w:tcPr>
            <w:tcW w:type="dxa" w:w="1814"/>
          </w:tcPr>
          <w:p>
            <w:pPr>
              <w:jc w:val="both"/>
            </w:pPr>
            <w:r/>
            <w:r>
              <w:rPr>
                <w:sz w:val="18"/>
              </w:rPr>
              <w:t>Referencias</w:t>
            </w:r>
          </w:p>
        </w:tc>
        <w:tc>
          <w:tcPr>
            <w:tcW w:type="dxa" w:w="7143"/>
          </w:tcPr>
          <w:p>
            <w:pPr>
              <w:jc w:val="both"/>
            </w:pPr>
            <w:r/>
            <w:r>
              <w:rPr>
                <w:sz w:val="18"/>
              </w:rPr>
              <w:t>La ficha se corrigió en año y en título: «Alcaldía de Medellín. (2021). Explotación sexual comercial de niños, niñas y adolescentes asociada al turismo en Medellín. Secretaría de Turismo y Entretenimiento». Las dos citas en el cuerpo se actualizaron a 2021.</w:t>
            </w:r>
          </w:p>
        </w:tc>
      </w:tr>
      <w:tr>
        <w:tc>
          <w:tcPr>
            <w:tcW w:type="dxa" w:w="4252"/>
          </w:tcPr>
          <w:p>
            <w:pPr>
              <w:jc w:val="both"/>
            </w:pPr>
            <w:r/>
            <w:r>
              <w:rPr>
                <w:sz w:val="18"/>
              </w:rPr>
              <w:t>Se recomienda incorporar lo enunciado anteriormente y así subirían las fuentes.</w:t>
            </w:r>
          </w:p>
        </w:tc>
        <w:tc>
          <w:tcPr>
            <w:tcW w:type="dxa" w:w="1814"/>
          </w:tcPr>
          <w:p>
            <w:pPr>
              <w:jc w:val="both"/>
            </w:pPr>
            <w:r/>
            <w:r>
              <w:rPr>
                <w:sz w:val="18"/>
              </w:rPr>
              <w:t>Referencias</w:t>
            </w:r>
          </w:p>
        </w:tc>
        <w:tc>
          <w:tcPr>
            <w:tcW w:type="dxa" w:w="7143"/>
          </w:tcPr>
          <w:p>
            <w:pPr>
              <w:jc w:val="both"/>
            </w:pPr>
            <w:r/>
            <w:r>
              <w:rPr>
                <w:sz w:val="18"/>
              </w:rPr>
              <w:t>Se sumaron cuatro normas (Ley 2068 de 2020, Decreto 1836 de 2021, Decretos Municipales 0328 de 2019 y 0758 de 2020) y se retiró la del CONPES 3629. El artículo pasó de 50 a 53 referencias, en orden alfabético y con APA. Extensión final: 9.079 palabras, dentro del rango de 7.000 a 10.000 de la modalidad.</w:t>
            </w:r>
          </w:p>
        </w:tc>
      </w:tr>
    </w:tbl>
    <w:p>
      <w:pPr>
        <w:spacing w:after="160"/>
      </w:pPr>
    </w:p>
    <w:p>
      <w:pPr>
        <w:spacing w:after="80"/>
        <w:jc w:val="both"/>
      </w:pPr>
      <w:r>
        <w:rPr>
          <w:b w:val="0"/>
          <w:sz w:val="18"/>
        </w:rPr>
        <w:t>Las observaciones de las filas R7 («le faltan elementos») y R10 («la redacción es correcta») no exigían corrección puntual; la primera queda atendida por el conjunto de los ajustes anteriores.</w:t>
      </w:r>
    </w:p>
    <w:sectPr w:rsidR="00FC693F" w:rsidRPr="0006063C" w:rsidSect="00034616">
      <w:pgSz w:w="15840" w:h="12240"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