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26C1" w14:textId="4616220B" w:rsidR="00BC0CF6" w:rsidRDefault="00000000">
      <w:pPr>
        <w:spacing w:after="240"/>
        <w:jc w:val="center"/>
      </w:pPr>
      <w:r>
        <w:rPr>
          <w:b/>
          <w:bCs/>
          <w:highlight w:val="yellow"/>
        </w:rPr>
        <w:t xml:space="preserve">Revisión documental de los instrumentos de política pública para la regulación del turismo y la prevención de la explotación sexual comercial de niñas, niños y adolescentes en la comuna 14 de Medellín</w:t>
      </w:r>
    </w:p>
    <w:p w14:paraId="3D4D8245" w14:textId="77777777" w:rsidR="00BC0CF6" w:rsidRDefault="00000000">
      <w:pPr>
        <w:jc w:val="right"/>
      </w:pPr>
      <w:r>
        <w:t>Angie Mildrey Arias Vásquez 1</w:t>
      </w:r>
      <w:r>
        <w:rPr>
          <w:rStyle w:val="Refdenotaalpie"/>
        </w:rPr>
        <w:footnoteReference w:id="2"/>
      </w:r>
    </w:p>
    <w:p w14:paraId="618B67D5" w14:textId="77777777" w:rsidR="00BC0CF6" w:rsidRDefault="00000000">
      <w:pPr>
        <w:jc w:val="right"/>
      </w:pPr>
      <w:r>
        <w:t>Eliana Arteaga Ortiz 2</w:t>
      </w:r>
      <w:r>
        <w:rPr>
          <w:rStyle w:val="Refdenotaalpie"/>
        </w:rPr>
        <w:footnoteReference w:id="3"/>
      </w:r>
    </w:p>
    <w:p w14:paraId="7C09CF82" w14:textId="514A497C" w:rsidR="00BC0CF6" w:rsidRDefault="00000000" w:rsidP="00665F4C">
      <w:pPr>
        <w:jc w:val="right"/>
      </w:pPr>
      <w:r>
        <w:t>Kevin Arroyave González 3</w:t>
      </w:r>
      <w:r>
        <w:rPr>
          <w:rStyle w:val="Refdenotaalpie"/>
        </w:rPr>
        <w:footnoteReference w:id="4"/>
      </w:r>
    </w:p>
    <w:p w14:paraId="1F6AB9D2" w14:textId="77777777" w:rsidR="00BC0CF6" w:rsidRDefault="00000000">
      <w:pPr>
        <w:spacing w:before="240" w:after="120"/>
        <w:jc w:val="center"/>
      </w:pPr>
      <w:r>
        <w:rPr>
          <w:b/>
          <w:bCs/>
        </w:rPr>
        <w:t>Resumen</w:t>
      </w:r>
    </w:p>
    <w:p w14:paraId="5C67700C" w14:textId="77777777" w:rsidR="00BC0CF6" w:rsidRDefault="00000000">
      <w:pPr>
        <w:jc w:val="both"/>
      </w:pPr>
      <w:r>
        <w:rPr>
          <w:highlight w:val="yellow"/>
        </w:rPr>
        <w:t xml:space="preserve">La explotación sexual comercial de niñas, niños y adolescentes (ESCNNA) es una forma extrema de violencia contra la infancia que encuentra escenarios propicios en ciudades de alta actividad turística. </w:t>
      </w:r>
      <w:r>
        <w:rPr>
          <w:highlight w:val="yellow"/>
        </w:rPr>
        <w:t xml:space="preserve">Los informes institucionales sitúan a El Poblado, comuna 14 de Medellín, entre las zonas de mayor exposición, por su densidad hotelera, su alojamiento de renta corta y su vida nocturna (Alcaldía de Medellín, 2021; Fundación Renacer, 2020). </w:t>
      </w:r>
      <w:r>
        <w:rPr>
          <w:highlight w:val="yellow"/>
        </w:rPr>
        <w:t xml:space="preserve">Este artículo presenta una revisión documental de los instrumentos de política pública con los que Colombia vincula la regulación del turismo y la garantía de los derechos de la niñez, y de la evidencia disponible sobre su aplicación en ese territorio. </w:t>
      </w:r>
      <w:r>
        <w:rPr>
          <w:highlight w:val="yellow"/>
        </w:rPr>
        <w:t xml:space="preserve">Se examinaron normas nacionales y locales, jurisprudencia, informes oficiales del periodo 2019 a 2024 y literatura académica, ordenados en una matriz de cuatro categorías: instrumentos regulatorios, competencias institucionales, inspección y denuncia. </w:t>
      </w:r>
      <w:r>
        <w:rPr>
          <w:highlight w:val="yellow"/>
        </w:rPr>
        <w:t xml:space="preserve">El hallazgo central es una tensión entre densidad normativa y capacidad de aplicación. </w:t>
      </w:r>
      <w:r>
        <w:rPr>
          <w:highlight w:val="yellow"/>
        </w:rPr>
        <w:t xml:space="preserve">Hay un cuerpo amplio de normas nacionales y municipales, pero la documentación revisada no permite constatar una aplicación territorial sostenida, y la reglamentación municipal del turismo no menciona la ESCNNA. </w:t>
      </w:r>
      <w:r>
        <w:rPr>
          <w:highlight w:val="yellow"/>
        </w:rPr>
        <w:t xml:space="preserve">Persisten la dispersión de competencias, la informalidad del hospedaje y el traslado de la captación al entorno digital.</w:t>
      </w:r>
    </w:p>
    <w:p w14:paraId="1BC89C76" w14:textId="29F1FA55" w:rsidR="00BC0CF6" w:rsidRDefault="00000000" w:rsidP="00665F4C">
      <w:pPr>
        <w:jc w:val="both"/>
      </w:pPr>
      <w:r>
        <w:rPr>
          <w:b/>
          <w:bCs/>
        </w:rPr>
        <w:t xml:space="preserve">Palabras clave: </w:t>
      </w:r>
      <w:r>
        <w:t>niñez; vulneración de derechos; turismo responsable; regulación estatal; El Poblado.</w:t>
      </w:r>
    </w:p>
    <w:p w14:paraId="7A2728CA" w14:textId="77777777" w:rsidR="00BC0CF6" w:rsidRPr="00665F4C" w:rsidRDefault="00000000">
      <w:pPr>
        <w:spacing w:before="240" w:after="120"/>
        <w:jc w:val="center"/>
        <w:rPr>
          <w:lang w:val="en-US"/>
        </w:rPr>
      </w:pPr>
      <w:r w:rsidRPr="00665F4C">
        <w:rPr>
          <w:b/>
          <w:bCs/>
          <w:lang w:val="en-US"/>
        </w:rPr>
        <w:t>Abstract</w:t>
      </w:r>
    </w:p>
    <w:p w14:paraId="4B54C9FD" w14:textId="77777777" w:rsidR="00BC0CF6" w:rsidRPr="00665F4C" w:rsidRDefault="00000000">
      <w:pPr>
        <w:jc w:val="both"/>
        <w:rPr>
          <w:lang w:val="en-US"/>
        </w:rPr>
      </w:pPr>
      <w:proofErr w:type="spellStart"/>
      <w:proofErr w:type="spellEnd"/>
      <w:proofErr w:type="spellStart"/>
      <w:proofErr w:type="spellEnd"/>
      <w:proofErr w:type="spellStart"/>
      <w:proofErr w:type="spellEnd"/>
      <w:r w:rsidRPr="00665F4C">
        <w:rPr>
          <w:lang w:val="en-US"/>
          <w:highlight w:val="yellow"/>
        </w:rPr>
        <w:t xml:space="preserve">The commercial sexual exploitation of children and adolescents (CSEC) is an extreme form of violence against childhood that finds favourable conditions in cities with intense tourism activity. </w:t>
      </w:r>
      <w:r w:rsidRPr="00665F4C">
        <w:rPr>
          <w:lang w:val="en-US"/>
          <w:highlight w:val="yellow"/>
        </w:rPr>
        <w:t xml:space="preserve">Institutional reports place El Poblado, Commune 14 of Medellín, among the most exposed areas, owing to its density of hotels, its short-term rental accommodation and its nightlife (Alcaldía de Medellín, 2021; Fundación Renacer, 2020). </w:t>
      </w:r>
      <w:r w:rsidRPr="00665F4C">
        <w:rPr>
          <w:lang w:val="en-US"/>
          <w:highlight w:val="yellow"/>
        </w:rPr>
        <w:t xml:space="preserve">This article presents a documentary review of the public policy instruments through which Colombia links tourism regulation with the guarantee of children's rights, and of the evidence available on their application in that territory. </w:t>
      </w:r>
      <w:r w:rsidRPr="00665F4C">
        <w:rPr>
          <w:lang w:val="en-US"/>
          <w:highlight w:val="yellow"/>
        </w:rPr>
        <w:t xml:space="preserve">National and local legislation, case law, official reports from the 2019 to 2024 period and academic literature were examined and arranged in a matrix of four categories: regulatory instruments, institutional competences, inspection and reporting. </w:t>
      </w:r>
      <w:r w:rsidRPr="00665F4C">
        <w:rPr>
          <w:lang w:val="en-US"/>
          <w:highlight w:val="yellow"/>
        </w:rPr>
        <w:t xml:space="preserve">The central finding is a tension between regulatory density and implementation capacity. </w:t>
      </w:r>
      <w:r w:rsidRPr="00665F4C">
        <w:rPr>
          <w:lang w:val="en-US"/>
          <w:highlight w:val="yellow"/>
        </w:rPr>
        <w:t xml:space="preserve">There is a broad body of national and municipal rules, yet the reviewed documentation does not allow sustained territorial enforcement to be verified, and the municipal tourism regulations make no mention of CSEC. </w:t>
      </w:r>
      <w:r w:rsidRPr="00665F4C">
        <w:rPr>
          <w:lang w:val="en-US"/>
          <w:highlight w:val="yellow"/>
        </w:rPr>
        <w:t xml:space="preserve">Dispersion of competences, informality in the lodging sector and the shift of recruitment to digital environments persist.</w:t>
      </w:r>
    </w:p>
    <w:p w14:paraId="0ED5CB73" w14:textId="77777777" w:rsidR="00BC0CF6" w:rsidRPr="00665F4C" w:rsidRDefault="00000000">
      <w:pPr>
        <w:jc w:val="both"/>
        <w:rPr>
          <w:lang w:val="en-US"/>
        </w:rPr>
      </w:pPr>
      <w:r w:rsidRPr="00665F4C">
        <w:rPr>
          <w:b/>
          <w:bCs/>
          <w:lang w:val="en-US"/>
        </w:rPr>
        <w:t xml:space="preserve">Keywords: </w:t>
      </w:r>
      <w:r w:rsidRPr="00665F4C">
        <w:rPr>
          <w:lang w:val="en-US"/>
        </w:rPr>
        <w:t xml:space="preserve">childhood; rights violation; responsible tourism; state regulation; El </w:t>
      </w:r>
      <w:proofErr w:type="spellStart"/>
      <w:r w:rsidRPr="00665F4C">
        <w:rPr>
          <w:lang w:val="en-US"/>
        </w:rPr>
        <w:t>Poblado</w:t>
      </w:r>
      <w:proofErr w:type="spellEnd"/>
      <w:r w:rsidRPr="00665F4C">
        <w:rPr>
          <w:lang w:val="en-US"/>
        </w:rPr>
        <w:t>.</w:t>
      </w:r>
    </w:p>
    <w:p w14:paraId="3AEABAC4" w14:textId="77777777" w:rsidR="00BC0CF6" w:rsidRPr="00665F4C" w:rsidRDefault="00000000">
      <w:pPr>
        <w:rPr>
          <w:lang w:val="en-US"/>
        </w:rPr>
      </w:pPr>
      <w:r w:rsidRPr="00665F4C">
        <w:rPr>
          <w:lang w:val="en-US"/>
        </w:rPr>
        <w:br w:type="page"/>
      </w:r>
    </w:p>
    <w:p w14:paraId="5A0BCFB0" w14:textId="77777777" w:rsidR="00BC0CF6" w:rsidRDefault="00000000">
      <w:pPr>
        <w:spacing w:before="240" w:after="120"/>
        <w:jc w:val="center"/>
      </w:pPr>
      <w:r>
        <w:rPr>
          <w:b/>
          <w:bCs/>
        </w:rPr>
        <w:lastRenderedPageBreak/>
        <w:t>1. Introducción</w:t>
      </w:r>
    </w:p>
    <w:p w14:paraId="122B6EA7" w14:textId="77777777" w:rsidR="00BC0CF6" w:rsidRDefault="00000000">
      <w:pPr>
        <w:ind w:firstLine="720"/>
        <w:jc w:val="both"/>
      </w:pPr>
      <w:r>
        <w:t xml:space="preserve">Pocos fenómenos concentran, al mismo tiempo, tantas dimensiones de la vulnerabilidad humana como la explotación sexual comercial que padecen los niños, niñas y adolescentes, identificada en adelante por su sigla ESCNNA. Se trata, en términos sencillos, del uso de personas menores de edad en prácticas de índole sexual a cambio de alguna forma de pago, sea este dinero, bienes, servicios o beneficios simbólicos. En esa transacción operan, como lo ha señalado O'Connell Davidson (2005), relaciones de poder marcadamente desiguales y huecos institucionales que las facilitan. La caracterización del fenómeno como forma extrema de violencia contra la infancia cuenta con amplio respaldo en los instrumentos internacionales (Organización de las Naciones Unidas, 1989) y en los diagnósticos globales consolidados a comienzos del presente siglo (Pinheiro, 2006). Cillero </w:t>
      </w:r>
      <w:proofErr w:type="spellStart"/>
      <w:r>
        <w:t>Bruñol</w:t>
      </w:r>
      <w:proofErr w:type="spellEnd"/>
      <w:r>
        <w:t xml:space="preserve"> (1999) había advertido, ya en un planteamiento temprano y hoy clásico, que cualquier aproximación al asunto debe partir del principio del interés superior; García Méndez (2004), en la misma línea, cuestionó la tradición tutelar que durante décadas impidió reconocer a los menores como titulares plenos de derechos.</w:t>
      </w:r>
    </w:p>
    <w:p w14:paraId="2740BCBC" w14:textId="77777777" w:rsidR="00BC0CF6" w:rsidRDefault="00000000">
      <w:pPr>
        <w:ind w:firstLine="720"/>
        <w:jc w:val="both"/>
      </w:pPr>
      <w:r>
        <w:t xml:space="preserve">Colombia recogió esa transformación paradigmática mediante la reforma constitucional de 1991. El artículo 44 del texto superior declara la prevalencia de los derechos de la niñez y asigna al Estado, a la familia y a la sociedad la tarea compartida de hacerlos efectivos (Constitución Política de Colombia, 1991). Lo que la Constitución anunció en abstracto, la jurisprudencia se encargó de precisar. La Sentencia T-510 de 2003 fijó el contenido operativo del interés superior como criterio interpretativo vinculante para cualquier autoridad que adopte decisiones sobre menores; la T-117 de 2013 reforzó ese deber en escenarios de abuso sexual; y la SU-677 de 2017 reiteró, en sede de unificación, el rango </w:t>
      </w:r>
      <w:proofErr w:type="spellStart"/>
      <w:r>
        <w:t>iusfundamental</w:t>
      </w:r>
      <w:proofErr w:type="spellEnd"/>
      <w:r>
        <w:t xml:space="preserve"> de estos derechos. La corresponsabilidad que emerge de ese diseño institucional ha sido analizada por la doctrina nacional (Galvis Ortiz, </w:t>
      </w:r>
      <w:r>
        <w:lastRenderedPageBreak/>
        <w:t>2009; Tejeiro Duque, 2017) como una obligación concurrente cuyo incumplimiento compromete, de manera muchas veces irreversible, el proyecto de vida de las víctimas.</w:t>
      </w:r>
    </w:p>
    <w:p w14:paraId="79953762" w14:textId="77777777" w:rsidR="00BC0CF6" w:rsidRDefault="00000000">
      <w:pPr>
        <w:ind w:firstLine="720"/>
        <w:jc w:val="both"/>
      </w:pPr>
      <w:r>
        <w:t>El turismo sexual con menores representa una expresión particularmente compleja de la ESCNNA. A diferencia de otras modalidades, su dinámica está atravesada por la movilidad internacional: quienes demandan esos servicios suelen ser personas provenientes de economías con mayor capacidad adquisitiva que encuentran, en ciertos destinos, una combinación de pobreza, fragilidad institucional y tolerancia social que les permite acceder a niños con relativa impunidad (</w:t>
      </w:r>
      <w:proofErr w:type="spellStart"/>
      <w:r>
        <w:t>Kempadoo</w:t>
      </w:r>
      <w:proofErr w:type="spellEnd"/>
      <w:r>
        <w:t>, 2005; Montgomery, 2008). Este desplazamiento transnacional del delito es lo que ECPAT International (2016) ha denominado, en un estudio de alcance global, el fenómeno de los ofensores itinerantes. Colombia figura entre los países con mayor prevalencia del problema en la región latinoamericana según el diagnóstico posterior de ECPAT International (2018), que ubica en zonas urbanas de intensa actividad hotelera y vida nocturna los principales focos de riesgo. El Poblado cabe en ese perfil con precisión: allí coinciden visitantes nacionales y extranjeros, hospedaje informal mediado por plataformas en línea y estructuras criminales organizadas (Fundación Renacer, 2020).</w:t>
      </w:r>
    </w:p>
    <w:p w14:paraId="6C7AA88E" w14:textId="77777777" w:rsidR="00BC0CF6" w:rsidRDefault="00000000">
      <w:pPr>
        <w:ind w:firstLine="720"/>
        <w:jc w:val="both"/>
      </w:pPr>
      <w:r>
        <w:rPr/>
        <w:t xml:space="preserve">La respuesta normativa del Estado colombiano se ha construido por capas sucesivas. </w:t>
      </w:r>
      <w:r>
        <w:rPr/>
        <w:t xml:space="preserve">Un primer momento lo marca la Ley 679 del 2001, cuyo propósito explícito fue ordenar la prevención y el combate contra la explotación, la pornografía y el turismo sexual con menores, con deberes específicos para quienes prestan servicios turísticos. </w:t>
      </w:r>
      <w:r>
        <w:rPr/>
        <w:t xml:space="preserve">A ella se sumó el Código de la Infancia y la Adolescencia, expedido por la Ley 1098 del 2006, que instaló la protección integral como principio estructural del ordenamiento en materia de niñez, reglamentado luego por el Decreto 4840 del 2007 en lo relativo a las autoridades administrativas competentes (Presidencia de la República de Colombia, 2007). </w:t>
      </w:r>
      <w:r>
        <w:rPr/>
        <w:t xml:space="preserve">La Ley 1336 del 2009 amplió las obligaciones del sector y las extendió a los establecimientos de hospedaje no turístico. </w:t>
      </w:r>
      <w:r>
        <w:rPr>
          <w:highlight w:val="yellow"/>
        </w:rPr>
        <w:t xml:space="preserve">El cuadro se completa, en el plano de la política pública nacional, con la Línea de Política Pública para la Prevención y Erradicación de la ESCNNA 2018 a 2028, adoptada por el Instituto Colombiano de Bienestar Familiar (2018), y se actualiza con la Ley 2068 del 2020, que modificó la Ley General de Turismo e incorporó obligaciones específicas sobre las plataformas electrónicas de servicios turísticos y sobre la prevención de la ESCNNA en el sector. </w:t>
      </w:r>
      <w:r>
        <w:rPr/>
        <w:t xml:space="preserve">Ahora bien, disponer de normas no equivale a aplicarlas. </w:t>
      </w:r>
      <w:r>
        <w:rPr/>
        <w:t xml:space="preserve">Así lo había subrayado Roth Deubel (2002) al caracterizar la distancia entre diseño y ejecución como un rasgo recurrente de la gestión pública en la región.</w:t>
      </w:r>
    </w:p>
    <w:p w14:paraId="38A13677" w14:textId="77777777" w:rsidR="00BC0CF6" w:rsidRDefault="00000000">
      <w:pPr>
        <w:ind w:firstLine="720"/>
        <w:jc w:val="both"/>
      </w:pPr>
      <w:r>
        <w:t>En la esfera internacional, el andamiaje es convergente. Suscrita en 1989 y adoptada internamente por la Ley 12 de 1991, la Convención sobre los Derechos del Niño exige a los Estados parte el despliegue de medidas de orden legislativo, administrativo, social y educativo orientadas a proteger a la infancia de toda forma de abuso o explotación sexual (Congreso de la República de Colombia, 1991). Esa obligación se profundiza con el protocolo facultativo sobre venta de menores, prostitución y pornografía infantiles (Naciones Unidas Colombia, 2003). La Organización Internacional del Trabajo (2002) tipificó además la ESCNNA dentro de las peores formas de trabajo infantil, cuya erradicación reviste carácter prioritario. El Código Ético Mundial para el Turismo, por último, prohíbe de manera expresa cualquier actividad turística que tenga por finalidad la explotación sexual de menores (Organización Mundial del Turismo, 1999).</w:t>
      </w:r>
    </w:p>
    <w:p w14:paraId="38A13677" w14:textId="77777777" w:rsidR="00BC0CF6" w:rsidRDefault="00000000">
      <w:pPr>
        <w:ind w:firstLine="720"/>
        <w:jc w:val="both"/>
      </w:pPr>
      <w:r>
        <w:rPr>
          <w:highlight w:val="yellow"/>
        </w:rPr>
        <w:t xml:space="preserve">¿Qué se ha dicho hasta ahora sobre el asunto? </w:t>
      </w:r>
      <w:r>
        <w:rPr>
          <w:highlight w:val="yellow"/>
        </w:rPr>
        <w:t xml:space="preserve">Los estudios disponibles para Medellín coinciden en un punto: El Poblado aparece siempre entre las zonas de mayor exposición al riesgo. </w:t>
      </w:r>
      <w:r>
        <w:rPr>
          <w:highlight w:val="yellow"/>
        </w:rPr>
        <w:t xml:space="preserve">La Alcaldía de Medellín (2021), desde la Secretaría de Turismo y Entretenimiento, lo sitúa junto con Laureles y el Centro entre las áreas críticas. </w:t>
      </w:r>
      <w:r>
        <w:rPr>
          <w:highlight w:val="yellow"/>
        </w:rPr>
        <w:t xml:space="preserve">La Fundación Renacer (2020) documenta allí la confluencia de hospedaje informal, plataformas en línea y estructuras criminales organizadas. </w:t>
      </w:r>
      <w:r>
        <w:rPr>
          <w:highlight w:val="yellow"/>
        </w:rPr>
        <w:t xml:space="preserve">ECPAT International (2018), por su parte, ubica a Colombia entre los países de mayor prevalencia regional y señala como focos las zonas de intensa actividad hotelera y vida nocturna. </w:t>
      </w:r>
      <w:r>
        <w:rPr>
          <w:highlight w:val="yellow"/>
        </w:rPr>
        <w:t xml:space="preserve">El acuerdo, sin embargo, se detiene ahí. </w:t>
      </w:r>
      <w:r>
        <w:rPr>
          <w:highlight w:val="yellow"/>
        </w:rPr>
        <w:t xml:space="preserve">Ninguno de esos trabajos sistematiza en conjunto las competencias institucionales concurrentes y los instrumentos regulatorios que rigen el territorio, ni examina de corrido las normas nacionales y las municipales expedidas entre 2015 y 2021. </w:t>
      </w:r>
      <w:r>
        <w:rPr>
          <w:highlight w:val="yellow"/>
        </w:rPr>
        <w:t xml:space="preserve">A ese vacío se dirige la presente revisión.</w:t>
      </w:r>
    </w:p>
    <w:p w14:paraId="1BB335D8" w14:textId="77777777" w:rsidR="00BC0CF6" w:rsidRDefault="00000000">
      <w:pPr>
        <w:ind w:firstLine="720"/>
        <w:jc w:val="both"/>
      </w:pPr>
      <w:proofErr w:type="spellStart"/>
      <w:proofErr w:type="spellEnd"/>
      <w:r>
        <w:rPr>
          <w:highlight w:val="yellow"/>
        </w:rPr>
        <w:t xml:space="preserve">Desde ese marco, la presente revisión interroga el caso de la comuna 14. </w:t>
      </w:r>
      <w:r>
        <w:rPr>
          <w:highlight w:val="yellow"/>
        </w:rPr>
        <w:t xml:space="preserve">¿Qué instrumentos de política pública de regulación turística dirigidos a prevenir la ESCNNA resultan aplicables en ese territorio y qué evidencia documental existe sobre su aplicación? </w:t>
      </w:r>
      <w:r>
        <w:rPr>
          <w:highlight w:val="yellow"/>
        </w:rPr>
        <w:t xml:space="preserve">El objetivo general consiste en identificar y sistematizar, mediante revisión documental, los instrumentos normativos e institucionales de regulación turística orientados a prevenir la ESCNNA que resultan aplicables a la comuna 14 de Medellín, junto con la evidencia documental disponible sobre su aplicación entre 2019 y 2024. </w:t>
      </w:r>
      <w:r>
        <w:rPr>
          <w:highlight w:val="yellow"/>
        </w:rPr>
        <w:t xml:space="preserve">De ese propósito se desprenden tres objetivos específicos. </w:t>
      </w:r>
      <w:r>
        <w:rPr>
          <w:highlight w:val="yellow"/>
        </w:rPr>
        <w:t xml:space="preserve">El primero, describir la evolución normativa y jurisprudencial colombiana en materia de protección frente a la ESCNNA. </w:t>
      </w:r>
      <w:r>
        <w:rPr>
          <w:highlight w:val="yellow"/>
        </w:rPr>
        <w:t xml:space="preserve">El segundo, identificar los instrumentos de política pública nacional y municipal que vinculan la regulación del turismo con la prevención de la ESCNNA, señalando las entidades competentes en cada caso. </w:t>
      </w:r>
      <w:r>
        <w:rPr>
          <w:highlight w:val="yellow"/>
        </w:rPr>
        <w:t xml:space="preserve">El tercero, contrastar esos instrumentos con la evidencia documental disponible sobre su aplicación en la comuna 14, para establecer qué puede afirmarse y qué no a partir de fuentes secundarias. </w:t>
      </w:r>
      <w:r>
        <w:rPr>
          <w:highlight w:val="yellow"/>
        </w:rPr>
        <w:t xml:space="preserve">La aproximación es sociojurídica y crítica. </w:t>
      </w:r>
      <w:r>
        <w:rPr>
          <w:highlight w:val="yellow"/>
        </w:rPr>
        <w:t xml:space="preserve">No se limita al examen formal de las normas, pero tampoco pretende medir su eficacia: eso exigiría un diseño de investigación distinto (Baratta, 2007; Beloff, 2004).</w:t>
      </w:r>
    </w:p>
    <w:p w14:paraId="4525654D" w14:textId="77777777" w:rsidR="00BC0CF6" w:rsidRDefault="00000000">
      <w:pPr>
        <w:spacing w:before="240" w:after="120"/>
        <w:jc w:val="center"/>
      </w:pPr>
      <w:r>
        <w:rPr>
          <w:b/>
          <w:bCs/>
        </w:rPr>
        <w:t>2. Metodología</w:t>
      </w:r>
    </w:p>
    <w:p w14:paraId="46AC1FE7" w14:textId="77777777" w:rsidR="00BC0CF6" w:rsidRDefault="00000000">
      <w:pPr>
        <w:ind w:firstLine="720"/>
        <w:jc w:val="both"/>
      </w:pPr>
      <w:r>
        <w:t xml:space="preserve">El estudio se inscribe en la tradición </w:t>
      </w:r>
      <w:proofErr w:type="spellStart"/>
      <w:r>
        <w:t>sociojurídica</w:t>
      </w:r>
      <w:proofErr w:type="spellEnd"/>
      <w:r>
        <w:t xml:space="preserve"> y adopta una vía cualitativa de indagación. Esta elección responde a una premisa: las normas jurídicas no existen aisladas, sino incrustadas en tejidos sociales, económicos y culturales que modulan su capacidad para producir efectos (Hernández-Sampieri y Mendoza Torres, 2021). En asuntos de derechos humanos, donde las interacciones institucionales son complejas y los impactos sobre poblaciones vulneradas no se captan con facilidad desde marcos puramente cuantitativos, la perspectiva cualitativa muestra ventajas evidentes (Creswell y Creswell, 2021).</w:t>
      </w:r>
    </w:p>
    <w:p w14:paraId="5450AE18" w14:textId="77777777" w:rsidR="00BC0CF6" w:rsidRDefault="00000000">
      <w:pPr>
        <w:ind w:firstLine="720"/>
        <w:jc w:val="both"/>
      </w:pPr>
      <w:r>
        <w:rPr/>
        <w:t xml:space="preserve">La investigación es, en lo operativo, documental y bibliográfica, con alcance descriptivo y analítico. </w:t>
      </w:r>
      <w:r>
        <w:rPr>
          <w:highlight w:val="yellow"/>
        </w:rPr>
        <w:t xml:space="preserve">Se empleó un procedimiento analítico sintético mediante el cual se separaron los componentes del objeto de estudio (la normativa aplicable, los actores con competencia, el contexto territorial y las dinámicas propias del turismo sexual) para después reconstruir, desde allí, una valoración global sobre el alcance y los límites de los instrumentos de política pública identificados. </w:t>
      </w:r>
      <w:r>
        <w:rPr/>
        <w:t xml:space="preserve">Las fuentes examinadas incluyen producción académica, reportes institucionales, normas y jurisprudencia constitucional vinculada con la prevención de la ESCNNA en contextos turísticos, con foco preferencial en Medellín y en la comuna 14 durante el lustro 2019 a 2024.</w:t>
      </w:r>
    </w:p>
    <w:p w14:paraId="3633AC01" w14:textId="77777777" w:rsidR="00BC0CF6" w:rsidRDefault="00000000">
      <w:pPr>
        <w:ind w:firstLine="720"/>
        <w:jc w:val="both"/>
      </w:pPr>
      <w:proofErr w:type="gramStart"/>
      <w:proofErr w:type="gramEnd"/>
      <w:proofErr w:type="spellStart"/>
      <w:proofErr w:type="spellEnd"/>
      <w:proofErr w:type="spellStart"/>
      <w:proofErr w:type="spellEnd"/>
      <w:r>
        <w:rPr/>
        <w:t xml:space="preserve">La selección de fuentes se organizó en tres capas. </w:t>
      </w:r>
      <w:r>
        <w:rPr>
          <w:highlight w:val="yellow"/>
        </w:rPr>
        <w:t xml:space="preserve">La primera agrupa textos normativos nacionales y locales: el texto constitucional, la Ley 599 del 2000, las Leyes 679 del 2001, 1098 del 2006, 1336 del 2009, 1453 del 2011 y 2068 del 2020, los Decretos 4840 del 2007 y 1836 del 2021, los Acuerdos 020 del 2015 y 054 del 2017 expedidos por el Concejo de Medellín y los Decretos Municipales 0328 del 2019 y 0758 del 2020, que reglamentan la política pública de turismo de la ciudad, así como las providencias del tribunal constitucional que han concretado el contenido del interés superior. </w:t>
      </w:r>
      <w:r>
        <w:rPr>
          <w:highlight w:val="yellow"/>
        </w:rPr>
        <w:t xml:space="preserve">La segunda incorpora informes oficiales producidos por la Defensoría del Pueblo (2024), el ICBF (2018), el Instituto Nacional de Medicina Legal y Ciencias Forenses (2023), la Policía Nacional de Colombia (2023), la Fiscalía General de la Nación (2021), la Procuraduría General de la Nación (2020) y la Alcaldía de Medellín (2021). </w:t>
      </w:r>
      <w:r>
        <w:rPr/>
        <w:t xml:space="preserve">La tercera contiene literatura académica especializada, con atención prioritaria a publicaciones del último quinquenio, sin descartar referentes teóricos fundamentales (Carmona Parra, 2014; Cillero Bruñol, 1999; García Méndez, 2004; Kempadoo, 2005; O'Connell Davidson, 2005; Roth Deubel, 2002).</w:t>
      </w:r>
    </w:p>
    <w:p w14:paraId="775A81AB" w14:textId="77777777" w:rsidR="00BC0CF6" w:rsidRDefault="00000000">
      <w:pPr>
        <w:ind w:firstLine="720"/>
        <w:jc w:val="both"/>
      </w:pPr>
      <w:r>
        <w:rPr>
          <w:highlight w:val="yellow"/>
        </w:rPr>
        <w:t xml:space="preserve">El rastreo documental no se presenta aquí como una revisión sistemática en sentido estricto, sino como una revisión analítica de fuentes normativas, jurisprudenciales, institucionales y académicas, en la que los criterios de búsqueda y de selección se fijaron con antelación y cada pieza incorporada fue sometida a lectura crítica (Pagani et al., 2021). </w:t>
      </w:r>
      <w:r>
        <w:rPr>
          <w:highlight w:val="yellow"/>
        </w:rPr>
        <w:t xml:space="preserve">La búsqueda normativa se realizó sobre el Sistema Único de Información Normativa, el Gestor Normativo de la Función Pública, la Gaceta Oficial del Municipio de Medellín y el portal de normatividad del Ministerio de Comercio, Industria y Turismo. </w:t>
      </w:r>
      <w:r>
        <w:rPr>
          <w:highlight w:val="yellow"/>
        </w:rPr>
        <w:t xml:space="preserve">La jurisprudencial, sobre los repositorios de la Corte Constitucional y de la Corte Suprema de Justicia. </w:t>
      </w:r>
      <w:r>
        <w:rPr>
          <w:highlight w:val="yellow"/>
        </w:rPr>
        <w:t xml:space="preserve">La institucional, sobre los sitios oficiales del ICBF, la Defensoría del Pueblo, la Procuraduría General de la Nación, la Fiscalía General de la Nación, el Instituto Nacional de Medicina Legal y Ciencias Forenses, la Policía Nacional y la Alcaldía de Medellín. </w:t>
      </w:r>
      <w:r>
        <w:rPr>
          <w:highlight w:val="yellow"/>
        </w:rPr>
        <w:t xml:space="preserve">La académica, sobre bases de datos y repositorios de acceso abierto, entre ellos SciELO, Redalyc, Dialnet y Google Académico. </w:t>
      </w:r>
      <w:r>
        <w:rPr>
          <w:highlight w:val="yellow"/>
        </w:rPr>
        <w:t xml:space="preserve">Los descriptores empleados, combinados mediante operadores booleanos, fueron: explotación sexual comercial, ESCNNA, turismo sexual, niñez, política pública, regulación turística, Medellín y El Poblado. </w:t>
      </w:r>
      <w:r>
        <w:rPr/>
        <w:t xml:space="preserve">Entraron al estudio los documentos producidos entre 2019 y 2024, redactados en español o en inglés, con pertinencia directa respecto a la ESCNNA, el turismo sexual o las políticas dirigidas a proteger a la niñez en Colombia y América Latina, y con trazabilidad institucional verificable. </w:t>
      </w:r>
      <w:r>
        <w:rPr>
          <w:highlight w:val="yellow"/>
        </w:rPr>
        <w:t xml:space="preserve">Se dejaron por fuera los textos de opinión sin soporte académico, los materiales sin respaldo institucional y las obras con más de una década de antigüedad, salvo que se tratara de normas aún vigentes o de autores imprescindibles del campo teórico.</w:t>
      </w:r>
    </w:p>
    <w:p w14:paraId="775A81AB" w14:textId="77777777" w:rsidR="00BC0CF6" w:rsidRDefault="00000000">
      <w:pPr>
        <w:ind w:firstLine="720"/>
        <w:jc w:val="both"/>
      </w:pPr>
      <w:r>
        <w:rPr>
          <w:highlight w:val="yellow"/>
        </w:rPr>
        <w:t xml:space="preserve">El material seleccionado se ordenó en una matriz de análisis documental con cuatro categorías, definidas a partir de los objetivos específicos. </w:t>
      </w:r>
      <w:r>
        <w:rPr>
          <w:highlight w:val="yellow"/>
        </w:rPr>
        <w:t xml:space="preserve">La Tabla 1 presenta su estructura y muestra qué se extrajo de cada clase de fuente en cada una de esas categorías.</w:t>
      </w:r>
    </w:p>
    <w:p w14:paraId="775A81AB" w14:textId="77777777" w:rsidR="00BC0CF6" w:rsidRDefault="00000000">
      <w:pPr>
        <w:ind w:firstLine="720"/>
        <w:jc w:val="left"/>
      </w:pPr>
      <w:r>
        <w:rPr>
          <w:b/>
          <w:i w:val="0"/>
          <w:highlight w:val="yellow"/>
        </w:rPr>
        <w:t xml:space="preserve">Tabla 1
Matriz de análisis documental y triangulación de fuentes</w:t>
      </w:r>
    </w:p>
    <w:tbl>
      <w:tblPr>
        <w:tblW w:type="auto" w:w="0"/>
        <w:tblLayout w:type="fixed"/>
        <w:tblLook w:firstColumn="1" w:firstRow="1" w:lastColumn="0" w:lastRow="0" w:noHBand="0" w:noVBand="1" w:val="04A0"/>
        <w:tblBorders>
          <w:top w:val="single" w:sz="6" w:space="0" w:color="000000"/>
          <w:left w:val="none"/>
          <w:bottom w:val="single" w:sz="6" w:space="0" w:color="000000"/>
          <w:right w:val="none"/>
          <w:insideH w:val="none"/>
          <w:insideV w:val="none"/>
        </w:tblBorders>
      </w:tblPr>
      <w:tblGrid>
        <w:gridCol w:w="2340"/>
        <w:gridCol w:w="2340"/>
        <w:gridCol w:w="2340"/>
        <w:gridCol w:w="2340"/>
      </w:tblGrid>
      <w:tr>
        <w:tc>
          <w:tcPr>
            <w:tcW w:type="dxa" w:w="2608"/>
            <w:tcBorders>
              <w:bottom w:val="single" w:sz="6" w:space="0" w:color="000000"/>
            </w:tcBorders>
          </w:tcPr>
          <w:p>
            <w:pPr>
              <w:jc w:val="center"/>
            </w:pPr>
            <w:r>
              <w:rPr>
                <w:highlight w:val="yellow"/>
              </w:rPr>
            </w:r>
            <w:r>
              <w:rPr>
                <w:rFonts w:ascii="Times New Roman" w:hAnsi="Times New Roman"/>
                <w:b/>
                <w:sz w:val="18"/>
                <w:highlight w:val="yellow"/>
              </w:rPr>
              <w:t>Categoría de análisis</w:t>
            </w:r>
          </w:p>
        </w:tc>
        <w:tc>
          <w:tcPr>
            <w:tcW w:type="dxa" w:w="2438"/>
            <w:tcBorders>
              <w:bottom w:val="single" w:sz="6" w:space="0" w:color="000000"/>
            </w:tcBorders>
          </w:tcPr>
          <w:p>
            <w:pPr>
              <w:jc w:val="center"/>
            </w:pPr>
            <w:r>
              <w:rPr>
                <w:highlight w:val="yellow"/>
              </w:rPr>
            </w:r>
            <w:r>
              <w:rPr>
                <w:rFonts w:ascii="Times New Roman" w:hAnsi="Times New Roman"/>
                <w:b/>
                <w:sz w:val="18"/>
                <w:highlight w:val="yellow"/>
              </w:rPr>
              <w:t>Fuentes normativas y jurisprudenciales</w:t>
            </w:r>
          </w:p>
        </w:tc>
        <w:tc>
          <w:tcPr>
            <w:tcW w:type="dxa" w:w="2211"/>
            <w:tcBorders>
              <w:bottom w:val="single" w:sz="6" w:space="0" w:color="000000"/>
            </w:tcBorders>
          </w:tcPr>
          <w:p>
            <w:pPr>
              <w:jc w:val="center"/>
            </w:pPr>
            <w:r>
              <w:rPr>
                <w:highlight w:val="yellow"/>
              </w:rPr>
            </w:r>
            <w:r>
              <w:rPr>
                <w:rFonts w:ascii="Times New Roman" w:hAnsi="Times New Roman"/>
                <w:b/>
                <w:sz w:val="18"/>
                <w:highlight w:val="yellow"/>
              </w:rPr>
              <w:t>Informes institucionales</w:t>
            </w:r>
          </w:p>
        </w:tc>
        <w:tc>
          <w:tcPr>
            <w:tcW w:type="dxa" w:w="2098"/>
            <w:tcBorders>
              <w:bottom w:val="single" w:sz="6" w:space="0" w:color="000000"/>
            </w:tcBorders>
          </w:tcPr>
          <w:p>
            <w:pPr>
              <w:jc w:val="center"/>
            </w:pPr>
            <w:r>
              <w:rPr>
                <w:highlight w:val="yellow"/>
              </w:rPr>
            </w:r>
            <w:r>
              <w:rPr>
                <w:rFonts w:ascii="Times New Roman" w:hAnsi="Times New Roman"/>
                <w:b/>
                <w:sz w:val="18"/>
                <w:highlight w:val="yellow"/>
              </w:rPr>
              <w:t>Literatura académica</w:t>
            </w:r>
          </w:p>
        </w:tc>
      </w:tr>
      <w:tr>
        <w:tc>
          <w:tcPr>
            <w:tcW w:type="dxa" w:w="2608"/>
          </w:tcPr>
          <w:p>
            <w:pPr>
              <w:spacing w:after="40"/>
              <w:jc w:val="left"/>
            </w:pPr>
            <w:r>
              <w:rPr>
                <w:highlight w:val="yellow"/>
              </w:rPr>
            </w:r>
            <w:r>
              <w:rPr>
                <w:rFonts w:ascii="Times New Roman" w:hAnsi="Times New Roman"/>
                <w:b/>
                <w:sz w:val="18"/>
                <w:highlight w:val="yellow"/>
              </w:rPr>
              <w:t>1. Instrumentos regulatorios</w:t>
            </w:r>
          </w:p>
          <w:p>
            <w:pPr>
              <w:spacing w:after="40"/>
            </w:pPr>
            <w:r>
              <w:rPr>
                <w:rFonts w:ascii="Times New Roman" w:hAnsi="Times New Roman"/>
                <w:sz w:val="18"/>
                <w:highlight w:val="yellow"/>
              </w:rPr>
              <w:t>Norma o documento de política, nivel (internacional, nacional o municipal), año de expedición y deber que impone al sector turístico.</w:t>
            </w:r>
          </w:p>
        </w:tc>
        <w:tc>
          <w:tcPr>
            <w:tcW w:type="dxa" w:w="2438"/>
          </w:tcPr>
          <w:p>
            <w:pPr>
              <w:spacing w:after="40"/>
              <w:jc w:val="left"/>
            </w:pPr>
            <w:r>
              <w:rPr>
                <w:highlight w:val="yellow"/>
              </w:rPr>
            </w:r>
            <w:r>
              <w:rPr>
                <w:rFonts w:ascii="Times New Roman" w:hAnsi="Times New Roman"/>
                <w:sz w:val="18"/>
                <w:highlight w:val="yellow"/>
              </w:rPr>
              <w:t>Leyes 679 de 2001, 1098 de 2006, 1336 de 2009 y 2068 de 2020; Resolución 3840 de 2009; Decreto 1836 de 2021; Acuerdos 020 de 2015 y 054 de 2017; Decretos Municipales 0328 de 2019 y 0758 de 2020.</w:t>
            </w:r>
          </w:p>
        </w:tc>
        <w:tc>
          <w:tcPr>
            <w:tcW w:type="dxa" w:w="2211"/>
          </w:tcPr>
          <w:p>
            <w:pPr>
              <w:spacing w:after="40"/>
              <w:jc w:val="left"/>
            </w:pPr>
            <w:r>
              <w:rPr>
                <w:highlight w:val="yellow"/>
              </w:rPr>
            </w:r>
            <w:r>
              <w:rPr>
                <w:rFonts w:ascii="Times New Roman" w:hAnsi="Times New Roman"/>
                <w:sz w:val="18"/>
                <w:highlight w:val="yellow"/>
              </w:rPr>
              <w:t>Línea de Política Pública ICBF 2018-2028; lineamientos para entidades territoriales de la Procuraduría General de la Nación (2020).</w:t>
            </w:r>
          </w:p>
        </w:tc>
        <w:tc>
          <w:tcPr>
            <w:tcW w:type="dxa" w:w="2098"/>
          </w:tcPr>
          <w:p>
            <w:pPr>
              <w:spacing w:after="40"/>
              <w:jc w:val="left"/>
            </w:pPr>
            <w:r>
              <w:rPr>
                <w:highlight w:val="yellow"/>
              </w:rPr>
            </w:r>
            <w:r>
              <w:rPr>
                <w:rFonts w:ascii="Times New Roman" w:hAnsi="Times New Roman"/>
                <w:sz w:val="18"/>
                <w:highlight w:val="yellow"/>
              </w:rPr>
              <w:t>Roth Deubel (2002), sobre la distancia entre diseño normativo y ejecución.</w:t>
            </w:r>
          </w:p>
        </w:tc>
      </w:tr>
      <w:tr>
        <w:tc>
          <w:tcPr>
            <w:tcW w:type="dxa" w:w="2608"/>
          </w:tcPr>
          <w:p>
            <w:pPr>
              <w:spacing w:after="40"/>
              <w:jc w:val="left"/>
            </w:pPr>
            <w:r>
              <w:rPr>
                <w:highlight w:val="yellow"/>
              </w:rPr>
            </w:r>
            <w:r>
              <w:rPr>
                <w:rFonts w:ascii="Times New Roman" w:hAnsi="Times New Roman"/>
                <w:b/>
                <w:sz w:val="18"/>
                <w:highlight w:val="yellow"/>
              </w:rPr>
              <w:t>2. Competencias institucionales</w:t>
            </w:r>
          </w:p>
          <w:p>
            <w:pPr>
              <w:spacing w:after="40"/>
            </w:pPr>
            <w:r>
              <w:rPr>
                <w:rFonts w:ascii="Times New Roman" w:hAnsi="Times New Roman"/>
                <w:sz w:val="18"/>
                <w:highlight w:val="yellow"/>
              </w:rPr>
              <w:t>Entidad responsable de cada deber y tipo de función que ejerce: reglamentación, inspección, sanción o restablecimiento de derechos.</w:t>
            </w:r>
          </w:p>
        </w:tc>
        <w:tc>
          <w:tcPr>
            <w:tcW w:type="dxa" w:w="2438"/>
          </w:tcPr>
          <w:p>
            <w:pPr>
              <w:spacing w:after="40"/>
              <w:jc w:val="left"/>
            </w:pPr>
            <w:r>
              <w:rPr>
                <w:highlight w:val="yellow"/>
              </w:rPr>
            </w:r>
            <w:r>
              <w:rPr>
                <w:rFonts w:ascii="Times New Roman" w:hAnsi="Times New Roman"/>
                <w:sz w:val="18"/>
                <w:highlight w:val="yellow"/>
              </w:rPr>
              <w:t>Capítulo quinto de la Ley 679 de 2001; Ley 1098 de 2006; Decreto 4840 de 2007.</w:t>
            </w:r>
          </w:p>
        </w:tc>
        <w:tc>
          <w:tcPr>
            <w:tcW w:type="dxa" w:w="2211"/>
          </w:tcPr>
          <w:p>
            <w:pPr>
              <w:spacing w:after="40"/>
              <w:jc w:val="left"/>
            </w:pPr>
            <w:r>
              <w:rPr>
                <w:highlight w:val="yellow"/>
              </w:rPr>
            </w:r>
            <w:r>
              <w:rPr>
                <w:rFonts w:ascii="Times New Roman" w:hAnsi="Times New Roman"/>
                <w:sz w:val="18"/>
                <w:highlight w:val="yellow"/>
              </w:rPr>
              <w:t>ICBF (2018); Fiscalía General de la Nación (2021); Defensoría del Pueblo (2024); Procuraduría General de la Nación (2020).</w:t>
            </w:r>
          </w:p>
        </w:tc>
        <w:tc>
          <w:tcPr>
            <w:tcW w:type="dxa" w:w="2098"/>
          </w:tcPr>
          <w:p>
            <w:pPr>
              <w:spacing w:after="40"/>
              <w:jc w:val="left"/>
            </w:pPr>
            <w:r>
              <w:rPr>
                <w:highlight w:val="yellow"/>
              </w:rPr>
            </w:r>
            <w:r>
              <w:rPr>
                <w:rFonts w:ascii="Times New Roman" w:hAnsi="Times New Roman"/>
                <w:sz w:val="18"/>
                <w:highlight w:val="yellow"/>
              </w:rPr>
              <w:t>Galvis Ortiz (2009) y Tejeiro Duque (2017), sobre corresponsabilidad y calidad institucional.</w:t>
            </w:r>
          </w:p>
        </w:tc>
      </w:tr>
      <w:tr>
        <w:tc>
          <w:tcPr>
            <w:tcW w:type="dxa" w:w="2608"/>
          </w:tcPr>
          <w:p>
            <w:pPr>
              <w:spacing w:after="40"/>
              <w:jc w:val="left"/>
            </w:pPr>
            <w:r>
              <w:rPr>
                <w:highlight w:val="yellow"/>
              </w:rPr>
            </w:r>
            <w:r>
              <w:rPr>
                <w:rFonts w:ascii="Times New Roman" w:hAnsi="Times New Roman"/>
                <w:b/>
                <w:sz w:val="18"/>
                <w:highlight w:val="yellow"/>
              </w:rPr>
              <w:t>3. Mecanismos de inspección y vigilancia</w:t>
            </w:r>
          </w:p>
          <w:p>
            <w:pPr>
              <w:spacing w:after="40"/>
            </w:pPr>
            <w:r>
              <w:rPr>
                <w:rFonts w:ascii="Times New Roman" w:hAnsi="Times New Roman"/>
                <w:sz w:val="18"/>
                <w:highlight w:val="yellow"/>
              </w:rPr>
              <w:t>Control, registro y sanción administrativa asociados al Registro Nacional de Turismo y a los códigos de conducta.</w:t>
            </w:r>
          </w:p>
        </w:tc>
        <w:tc>
          <w:tcPr>
            <w:tcW w:type="dxa" w:w="2438"/>
          </w:tcPr>
          <w:p>
            <w:pPr>
              <w:spacing w:after="40"/>
              <w:jc w:val="left"/>
            </w:pPr>
            <w:r>
              <w:rPr>
                <w:highlight w:val="yellow"/>
              </w:rPr>
            </w:r>
            <w:r>
              <w:rPr>
                <w:rFonts w:ascii="Times New Roman" w:hAnsi="Times New Roman"/>
                <w:sz w:val="18"/>
                <w:highlight w:val="yellow"/>
              </w:rPr>
              <w:t>Ley 1336 de 2009; Resolución 3840 de 2009; artículo 38 de la Ley 2068 de 2020; Decreto 1836 de 2021.</w:t>
            </w:r>
          </w:p>
        </w:tc>
        <w:tc>
          <w:tcPr>
            <w:tcW w:type="dxa" w:w="2211"/>
          </w:tcPr>
          <w:p>
            <w:pPr>
              <w:spacing w:after="40"/>
              <w:jc w:val="left"/>
            </w:pPr>
            <w:r>
              <w:rPr>
                <w:highlight w:val="yellow"/>
              </w:rPr>
            </w:r>
            <w:r>
              <w:rPr>
                <w:rFonts w:ascii="Times New Roman" w:hAnsi="Times New Roman"/>
                <w:sz w:val="18"/>
                <w:highlight w:val="yellow"/>
              </w:rPr>
              <w:t>Alcaldía de Medellín (2021); Policía Nacional de Colombia (2023).</w:t>
            </w:r>
          </w:p>
        </w:tc>
        <w:tc>
          <w:tcPr>
            <w:tcW w:type="dxa" w:w="2098"/>
          </w:tcPr>
          <w:p>
            <w:pPr>
              <w:spacing w:after="40"/>
              <w:jc w:val="left"/>
            </w:pPr>
            <w:r>
              <w:rPr>
                <w:highlight w:val="yellow"/>
              </w:rPr>
            </w:r>
            <w:r>
              <w:rPr>
                <w:rFonts w:ascii="Times New Roman" w:hAnsi="Times New Roman"/>
                <w:sz w:val="18"/>
                <w:highlight w:val="yellow"/>
              </w:rPr>
              <w:t>ECPAT International (2016, 2018) y Montgomery (2008), sobre ofensores itinerantes y porosidad de los controles.</w:t>
            </w:r>
          </w:p>
        </w:tc>
      </w:tr>
      <w:tr>
        <w:tc>
          <w:tcPr>
            <w:tcW w:type="dxa" w:w="2608"/>
          </w:tcPr>
          <w:p>
            <w:pPr>
              <w:spacing w:after="40"/>
              <w:jc w:val="left"/>
            </w:pPr>
            <w:r>
              <w:rPr>
                <w:highlight w:val="yellow"/>
              </w:rPr>
            </w:r>
            <w:r>
              <w:rPr>
                <w:rFonts w:ascii="Times New Roman" w:hAnsi="Times New Roman"/>
                <w:b/>
                <w:sz w:val="18"/>
                <w:highlight w:val="yellow"/>
              </w:rPr>
              <w:t>4. Dispositivos de denuncia y atención</w:t>
            </w:r>
          </w:p>
          <w:p>
            <w:pPr>
              <w:spacing w:after="40"/>
            </w:pPr>
            <w:r>
              <w:rPr>
                <w:rFonts w:ascii="Times New Roman" w:hAnsi="Times New Roman"/>
                <w:sz w:val="18"/>
                <w:highlight w:val="yellow"/>
              </w:rPr>
              <w:t>Rutas y canales previstos para el reporte ciudadano y la atención de las víctimas.</w:t>
            </w:r>
          </w:p>
        </w:tc>
        <w:tc>
          <w:tcPr>
            <w:tcW w:type="dxa" w:w="2438"/>
          </w:tcPr>
          <w:p>
            <w:pPr>
              <w:spacing w:after="40"/>
              <w:jc w:val="left"/>
            </w:pPr>
            <w:r>
              <w:rPr>
                <w:highlight w:val="yellow"/>
              </w:rPr>
            </w:r>
            <w:r>
              <w:rPr>
                <w:rFonts w:ascii="Times New Roman" w:hAnsi="Times New Roman"/>
                <w:sz w:val="18"/>
                <w:highlight w:val="yellow"/>
              </w:rPr>
              <w:t>Ley 1098 de 2006; Ley 1257 de 2008; Decreto 4840 de 2007.</w:t>
            </w:r>
          </w:p>
        </w:tc>
        <w:tc>
          <w:tcPr>
            <w:tcW w:type="dxa" w:w="2211"/>
          </w:tcPr>
          <w:p>
            <w:pPr>
              <w:spacing w:after="40"/>
              <w:jc w:val="left"/>
            </w:pPr>
            <w:r>
              <w:rPr>
                <w:highlight w:val="yellow"/>
              </w:rPr>
            </w:r>
            <w:r>
              <w:rPr>
                <w:rFonts w:ascii="Times New Roman" w:hAnsi="Times New Roman"/>
                <w:sz w:val="18"/>
                <w:highlight w:val="yellow"/>
              </w:rPr>
              <w:t>ICBF (2018); Defensoría del Pueblo (2024); Fundación Renacer (2020).</w:t>
            </w:r>
          </w:p>
        </w:tc>
        <w:tc>
          <w:tcPr>
            <w:tcW w:type="dxa" w:w="2098"/>
          </w:tcPr>
          <w:p>
            <w:pPr>
              <w:spacing w:after="40"/>
              <w:jc w:val="left"/>
            </w:pPr>
            <w:r>
              <w:rPr>
                <w:highlight w:val="yellow"/>
              </w:rPr>
            </w:r>
            <w:r>
              <w:rPr>
                <w:rFonts w:ascii="Times New Roman" w:hAnsi="Times New Roman"/>
                <w:sz w:val="18"/>
                <w:highlight w:val="yellow"/>
              </w:rPr>
              <w:t>Save the Children (2017), UNICEF (2021) y UNODC (2022), sobre modelos de denuncia accesible y protegida.</w:t>
            </w:r>
          </w:p>
        </w:tc>
      </w:tr>
    </w:tbl>
    <w:p w14:paraId="775A81AB" w14:textId="77777777" w:rsidR="00BC0CF6" w:rsidRDefault="00000000">
      <w:pPr>
        <w:ind w:firstLine="720"/>
        <w:jc w:val="left"/>
      </w:pPr>
      <w:r>
        <w:rPr>
          <w:i/>
          <w:sz w:val="18"/>
          <w:highlight w:val="yellow"/>
        </w:rPr>
        <w:t>Nota.</w:t>
      </w:r>
      <w:r>
        <w:rPr>
          <w:i w:val="0"/>
          <w:sz w:val="18"/>
          <w:highlight w:val="yellow"/>
        </w:rPr>
        <w:t xml:space="preserve"> Elaboración propia a partir de las fuentes relacionadas en el apartado de referencias.</w:t>
      </w:r>
    </w:p>
    <w:p w14:paraId="775A81AB" w14:textId="77777777" w:rsidR="00BC0CF6" w:rsidRDefault="00000000">
      <w:pPr>
        <w:ind w:firstLine="720"/>
        <w:jc w:val="both"/>
      </w:pPr>
      <w:r>
        <w:rPr>
          <w:highlight w:val="yellow"/>
        </w:rPr>
        <w:t xml:space="preserve">La triangulación se practicó dentro de esa matriz, leyendo cada fila de izquierda a derecha: lo que la norma ordena, lo que los informes institucionales reportan sobre su aplicación y lo que la literatura académica señala sobre sus límites. </w:t>
      </w:r>
      <w:r>
        <w:rPr>
          <w:highlight w:val="yellow"/>
        </w:rPr>
        <w:t xml:space="preserve">Las coincidencias, los silencios y las contradicciones entre las tres columnas quedaron así expuestos categoría por categoría y no de forma global. </w:t>
      </w:r>
      <w:r>
        <w:rPr>
          <w:highlight w:val="yellow"/>
        </w:rPr>
        <w:t xml:space="preserve">De esa lectura salen los hallazgos que se presentan en el apartado siguiente.</w:t>
      </w:r>
    </w:p>
    <w:p w14:paraId="662D7F1F" w14:textId="77777777" w:rsidR="00BC0CF6" w:rsidRDefault="00000000">
      <w:pPr>
        <w:ind w:firstLine="720"/>
        <w:jc w:val="both"/>
      </w:pPr>
      <w:r>
        <w:rPr>
          <w:highlight w:val="yellow"/>
        </w:rPr>
        <w:t xml:space="preserve">El alcance del estudio quedó delimitado a propósito: se trata de una revisión documental y sus conclusiones se refieren al contenido de las fuentes secundarias examinadas, no a la medición de la eficacia de las políticas ni a la verificación en terreno de las acciones de inspección. </w:t>
      </w:r>
      <w:r>
        <w:rPr>
          <w:highlight w:val="yellow"/>
        </w:rPr>
        <w:t xml:space="preserve">De ahí dos límites que hay que declarar. </w:t>
      </w:r>
      <w:r>
        <w:rPr>
          <w:highlight w:val="yellow"/>
        </w:rPr>
        <w:t xml:space="preserve">Con el material disponible no puede establecerse una relación de causa y efecto entre los instrumentos regulatorios y la evolución del fenómeno en la comuna 14. </w:t>
      </w:r>
      <w:r>
        <w:rPr>
          <w:highlight w:val="yellow"/>
        </w:rPr>
        <w:t xml:space="preserve">Y la información oficial publicada sobre inspección, vigilancia y sanción en el sector turístico se encuentra agregada a escala municipal, lo que restringe la posibilidad de desagregar hallazgos por comuna; cuando ello ocurre, se advierte expresamente en el texto. </w:t>
      </w:r>
      <w:r>
        <w:rPr>
          <w:highlight w:val="yellow"/>
        </w:rPr>
        <w:t xml:space="preserve">Dentro de esos límites, el corpus normativo, jurisprudencial e institucional reunido resulta suficiente para responder los objetivos planteados, que son de identificación y sistematización y no de evaluación de impacto.</w:t>
      </w:r>
    </w:p>
    <w:p w14:paraId="7A72A7CB" w14:textId="77777777" w:rsidR="00BC0CF6" w:rsidRDefault="00000000">
      <w:pPr>
        <w:spacing w:before="240" w:after="120"/>
        <w:jc w:val="center"/>
      </w:pPr>
      <w:r>
        <w:rPr>
          <w:b/>
          <w:bCs/>
        </w:rPr>
        <w:t>3. Resultados</w:t>
      </w:r>
    </w:p>
    <w:p w14:paraId="1B9C074A" w14:textId="77777777" w:rsidR="00BC0CF6" w:rsidRDefault="00000000">
      <w:pPr>
        <w:spacing w:before="240" w:after="120"/>
      </w:pPr>
      <w:r>
        <w:rPr>
          <w:b/>
          <w:bCs/>
        </w:rPr>
        <w:t xml:space="preserve">3.1. </w:t>
      </w:r>
      <w:r>
        <w:rPr>
          <w:b/>
          <w:bCs/>
          <w:highlight w:val="yellow"/>
        </w:rPr>
        <w:t xml:space="preserve">Evolución normativa y jurisprudencial sobre la explotación sexual comercial de niñas, niños y adolescentes en Colombia</w:t>
      </w:r>
    </w:p>
    <w:p w14:paraId="4BD07521" w14:textId="77777777" w:rsidR="00BC0CF6" w:rsidRDefault="00000000">
      <w:pPr>
        <w:ind w:firstLine="720"/>
        <w:jc w:val="both"/>
      </w:pPr>
      <w:r>
        <w:t>Hay un antes y un después en el tratamiento jurídico de la infancia en el país, y esa frontera la marca la Constitución del 91. El paso del Estado de Derecho al Estado Social de Derecho reubicó a la persona en el centro de la protección estatal e incorporó un repertorio amplio de derechos diseñado, entre otros fines, para tutelar con intensidad reforzada a los grupos tradicionalmente excluidos, la niñez entre ellos. La lectura conjunta de los artículos 1, 13, 42 y 44 confirma esta orientación: los menores pasan a ser titulares de derechos prevalentes y el aparato público queda obligado a desplegar políticas capaces de hacerlos efectivos en lo cotidiano (Constitución Política de Colombia, 1991).</w:t>
      </w:r>
    </w:p>
    <w:p w14:paraId="172A4543" w14:textId="77777777" w:rsidR="00BC0CF6" w:rsidRDefault="00000000">
      <w:pPr>
        <w:ind w:firstLine="720"/>
        <w:jc w:val="both"/>
      </w:pPr>
      <w:r>
        <w:t xml:space="preserve">Lo que venía del lado doctrinal complementó el giro constitucional. La llamada doctrina de la protección integral, construida alrededor de la Convención sobre los Derechos del Niño, reemplazó la lógica tutelar heredada del antiguo Código del Menor por un enfoque de ciudadanía plena con capacidades progresivas (Beloff, 2004; García Méndez, 2004). Baratta (2007) fue más allá al sostener que el reconocimiento efectivo de los derechos de la infancia constituye, en el fondo, un indicador de la calidad democrática de una sociedad; Cillero </w:t>
      </w:r>
      <w:proofErr w:type="spellStart"/>
      <w:r>
        <w:t>Bruñol</w:t>
      </w:r>
      <w:proofErr w:type="spellEnd"/>
      <w:r>
        <w:t xml:space="preserve"> (1999), por su parte, ofreció la fórmula que hoy se considera canónica: el interés superior opera como principio regulador de toda actuación pública que afecte al niño. El tribunal constitucional colombiano asumió esa construcción en múltiples oportunidades. La T-510 del 2003 elevó el interés superior a criterio hermenéutico obligatorio; la T-117 del 2013 especificó el deber reforzado de protección </w:t>
      </w:r>
      <w:r>
        <w:lastRenderedPageBreak/>
        <w:t xml:space="preserve">cuando median hechos de abuso sexual; la SU-677 del 2017, finalmente, consolidó una línea jurisprudencial que reafirma el rango </w:t>
      </w:r>
      <w:proofErr w:type="spellStart"/>
      <w:r>
        <w:t>iusfundamental</w:t>
      </w:r>
      <w:proofErr w:type="spellEnd"/>
      <w:r>
        <w:t xml:space="preserve"> de estos derechos.</w:t>
      </w:r>
    </w:p>
    <w:p w14:paraId="4BAFDFC0" w14:textId="77777777" w:rsidR="00BC0CF6" w:rsidRDefault="00000000">
      <w:pPr>
        <w:ind w:firstLine="720"/>
        <w:jc w:val="both"/>
      </w:pPr>
      <w:r>
        <w:t>En el plano conceptual, la explotación sexual se define como toda forma de abuso cometido mediando vulnerabilidad, desequilibrio de poder o relación de confianza, con propósitos sexuales (Naciones Unidas Colombia, 2003). Si la víctima es menor de edad, se configura una lesión directa de la dignidad y la integridad personal que, en la medida en que medie remuneración o retribución, asume un carácter comercial (Carmona Parra, 2014; Pinheiro, 2006).</w:t>
      </w:r>
    </w:p>
    <w:p w14:paraId="35279C5F" w14:textId="77777777" w:rsidR="00BC0CF6" w:rsidRDefault="00000000">
      <w:pPr>
        <w:ind w:firstLine="720"/>
        <w:jc w:val="both"/>
      </w:pPr>
      <w:proofErr w:type="spellStart"/>
      <w:proofErr w:type="spellEnd"/>
      <w:proofErr w:type="spellStart"/>
      <w:proofErr w:type="spellEnd"/>
      <w:proofErr w:type="gramStart"/>
      <w:proofErr w:type="gramEnd"/>
      <w:r>
        <w:rPr>
          <w:highlight w:val="yellow"/>
        </w:rPr>
        <w:t xml:space="preserve">Las cifras disponibles permiten dimensionar lo que ocurre en Colombia, aunque hay que leerlas con cautela. </w:t>
      </w:r>
      <w:r>
        <w:rPr>
          <w:highlight w:val="yellow"/>
        </w:rPr>
        <w:t xml:space="preserve">Los registros institucionales del periodo examinado no muestran un descenso del fenómeno, sino su persistencia, atada a determinantes estructurales que se refuerzan entre sí: los ingresos familiares bajos, la exclusión laboral, los quiebres al interior del hogar y la ausencia de oportunidades educativas conforman el terreno sobre el que prospera la violencia (Durán-Strauch et al., 2011; Save the Children, 2017). </w:t>
      </w:r>
      <w:r>
        <w:rPr>
          <w:highlight w:val="yellow"/>
        </w:rPr>
        <w:t xml:space="preserve">Un informe de la Policía Nacional de Colombia (2023) señala que solo durante ese año se abrieron 1.493 casos; de esas víctimas, ocho de cada diez son niñas y adolescentes, y el 86 % de las conductas ocurrió en espacios virtuales. </w:t>
      </w:r>
      <w:r>
        <w:rPr>
          <w:highlight w:val="yellow"/>
        </w:rPr>
        <w:t xml:space="preserve">En la línea administrativa, el Instituto Colombiano de Bienestar Familiar (2018) fijó la ruta decenal de prevención y erradicación del fenómeno y estableció el restablecimiento de derechos como respuesta institucional obligatoria ante cada caso detectado, lo que sitúa a los Procesos Administrativos de Restablecimiento de Derechos como el principal registro administrativo de la problemática. </w:t>
      </w:r>
      <w:r>
        <w:rPr>
          <w:highlight w:val="yellow"/>
        </w:rPr>
        <w:t xml:space="preserve">La Fiscalía General de la Nación (2021) ha encontrado patrones similares en sus propios reportes sobre delitos contra la libertad, integridad y formación sexuales cuando las víctimas son menores de edad.</w:t>
      </w:r>
    </w:p>
    <w:p w14:paraId="4BA6B743" w14:textId="77777777" w:rsidR="00BC0CF6" w:rsidRDefault="00000000">
      <w:pPr>
        <w:ind w:firstLine="720"/>
        <w:jc w:val="both"/>
      </w:pPr>
      <w:r>
        <w:rPr/>
        <w:t xml:space="preserve">A esa fotografía se añaden los datos de Medicina Legal. </w:t>
      </w:r>
      <w:r>
        <w:rPr/>
        <w:t xml:space="preserve">Durante 2023 se realizaron 23.612 valoraciones por presunto abuso sexual en el territorio nacional; de ellas, 13.397 fueron practicadas en menores entre 10 y 17 años, equivalentes al 57 % del universo examinado. </w:t>
      </w:r>
      <w:r>
        <w:rPr/>
        <w:t xml:space="preserve">Dentro de ese segmento, 180 casos quedaron asociados con prácticas de pornografía, explotación sexual comercial, presunta esclavitud sexual, prostitución forzada y trata con propósitos sexuales (Instituto Nacional de Medicina Legal y Ciencias Forenses, 2023). </w:t>
      </w:r>
      <w:r>
        <w:rPr/>
        <w:t xml:space="preserve">La Defensoría del Pueblo (2024) ha respaldado estos hallazgos en sus propios informes, con énfasis en los patrones territoriales que exigen intervención focalizada. </w:t>
      </w:r>
      <w:r>
        <w:rPr>
          <w:highlight w:val="yellow"/>
        </w:rPr>
        <w:t xml:space="preserve">En el plano metodológico hay que advertir algo: la cifra de 23.612 corresponde a valoraciones por presunto abuso sexual y no constituye un indicador de prevalencia de la ESCNNA; se emplea aquí únicamente como contexto de la vulneración de los derechos de niñas, niños y adolescentes en el país. </w:t>
      </w:r>
      <w:r>
        <w:rPr>
          <w:highlight w:val="yellow"/>
        </w:rPr>
        <w:t xml:space="preserve">El dato directamente asociado a la ESCNNA es el de los 180 casos señalados, que tampoco puede leerse como medida del fenómeno, dado el subregistro que la propia literatura le reconoce.</w:t>
      </w:r>
    </w:p>
    <w:p w14:paraId="55D15B82" w14:textId="77777777" w:rsidR="00BC0CF6" w:rsidRDefault="00000000">
      <w:pPr>
        <w:ind w:firstLine="720"/>
        <w:jc w:val="both"/>
      </w:pPr>
      <w:r>
        <w:t>La pandemia del COVID-19 introdujo un quiebre importante. El aislamiento prolongado, combinado con un aumento sostenido del tiempo que niños y adolescentes pasaron conectados a internet, facilitó la aparición de modalidades de explotación que antes resultaban marginales. Las redes sociales y las aplicaciones de mensajería permitieron consolidar circuitos de captación en los que quien comete el delito puede estar físicamente lejos de su víctima, operando a través de solicitudes y envíos de imágenes o videos. Otros factores recientes contribuyeron al aumento de la vulnerabilidad: los flujos migratorios expusieron a menores cuya condición irregular, su escasez de recursos y su desconocimiento de las rutas de protección los hacen blancos preferentes. A esto se suma la pobreza extrema en algunas regiones, reforzada por la desinformación y la exclusión, lo que permite que la captación se realice con pocos obstáculos (UNICEF, 2021; UNODC, 2022).</w:t>
      </w:r>
    </w:p>
    <w:p w14:paraId="5BB05FB8" w14:textId="77777777" w:rsidR="00BC0CF6" w:rsidRDefault="00000000">
      <w:pPr>
        <w:ind w:firstLine="720"/>
        <w:jc w:val="both"/>
      </w:pPr>
      <w:r>
        <w:t xml:space="preserve">El Código Penal ofrece la arquitectura punitiva sobre la que se sostiene la protección integral en su vertiente sancionatoria. La Ley 599 del 2000 contempla cuatro supuestos centrales que, leídos en conjunto, apuntan a cerrar las rutas más frecuentes de vulneración. Sanciona, en primer término, a quien destina o financia inmuebles destinados a la práctica de actos sexuales con menores. Castiga, como segunda modalidad, el amplio abanico de conductas relacionadas con la pornografía infantil, desde su producción hasta su almacenamiento en bases de datos digitales. Una tercera dimensión apunta contra la utilización de cualquier medio de comunicación, presencial o electrónico, con fines de contacto sexual con personas menores de 18 años. Por último, y este es el supuesto particularmente relevante para los fines de este artículo, se reprime a quien organice o </w:t>
      </w:r>
      <w:r>
        <w:lastRenderedPageBreak/>
        <w:t>promueva actividades turísticas que involucren el uso sexual de menores, con agravación punitiva cuando la víctima tiene menos de doce años. La Ley 1453 del 2011 reforzó posteriormente este régimen con ajustes en la política criminal dirigidos a delitos contra la seguridad ciudadana, y la Sentencia SP-5000 del 2019 de la Corte Suprema de Justicia afinó los criterios probatorios y de dolo específico requeridos para la configuración de estos tipos penales.</w:t>
      </w:r>
    </w:p>
    <w:p w14:paraId="1854F95A" w14:textId="77777777" w:rsidR="00BC0CF6" w:rsidRDefault="00000000">
      <w:pPr>
        <w:ind w:firstLine="720"/>
        <w:jc w:val="both"/>
      </w:pPr>
      <w:r>
        <w:t>Vistos conjuntamente, estos tipos exhiben una intención definida: dotar al aparato estatal de instrumentos para castigar las agresiones más graves contra la integridad sexual de la niñez y, al mismo tiempo, orientar el diseño de políticas de acompañamiento, formación y sensibilización social. Conviene precisar, sin embargo, que la respuesta penal por sí sola es insuficiente. Actúa tarde, cuando el daño ya está consumado. Lo preventivo exige articular el derecho penal con herramientas administrativas de control, pedagogía ciudadana y cooperación entre instituciones, capaces de anticiparse al hecho punible (Tejeiro Duque, 2017).</w:t>
      </w:r>
    </w:p>
    <w:p w14:paraId="0EEEAD91" w14:textId="77777777" w:rsidR="00BC0CF6" w:rsidRDefault="00000000">
      <w:pPr>
        <w:spacing w:before="240" w:after="120"/>
      </w:pPr>
      <w:r>
        <w:rPr>
          <w:b/>
          <w:bCs/>
        </w:rPr>
        <w:t>3.2. Políticas públicas de regulación al turismo en relación con la ESCNNA en Medellín</w:t>
      </w:r>
    </w:p>
    <w:p w14:paraId="75854C2B" w14:textId="77777777" w:rsidR="00BC0CF6" w:rsidRDefault="00000000">
      <w:pPr>
        <w:ind w:firstLine="720"/>
        <w:jc w:val="both"/>
      </w:pPr>
      <w:r>
        <w:t>La actividad turística ocupa, hoy, un lugar privilegiado en la economía colombiana y de manera particular en Medellín. Genera empleo, activa encadenamientos productivos y dinamiza el tejido urbano. Ese crecimiento, sin embargo, arrastra costos sociales significativos, entre los cuales destaca la explotación sexual comercial de menores en contextos turísticos. Esta modalidad de violencia, enquistada desde hace años en ciertos segmentos del sector, pasó a ocupar el centro de la agenda de protección a la niñez y se volvió un asunto prioritario para la regulación del mercado turístico (Organización Mundial del Turismo, 1999).</w:t>
      </w:r>
    </w:p>
    <w:p w14:paraId="15C80C2E" w14:textId="77777777" w:rsidR="00BC0CF6" w:rsidRDefault="00000000">
      <w:pPr>
        <w:ind w:firstLine="720"/>
        <w:jc w:val="both"/>
      </w:pPr>
      <w:r>
        <w:t xml:space="preserve">La proyección de Medellín como destino nacional e internacional, resultado de profundos procesos de renovación urbana y de una estrategia sostenida de marca ciudad, obligó a articular respuestas entre varias instituciones. El Gobierno Nacional, el ICBF y la Administración </w:t>
      </w:r>
      <w:r>
        <w:lastRenderedPageBreak/>
        <w:t>Municipal vienen trabajando en marcos legales, códigos de autorregulación y programas públicos que apuntan a un turismo ético, responsable y sin abuso contra la niñez. El hito inicial de la regulación específica sobre esta problemática se ubica en la Ley 679 del 2001, conocida como el estatuto para contrarrestar la explotación, la pornografía y el turismo sexual con menores.</w:t>
      </w:r>
    </w:p>
    <w:p w14:paraId="3687EC3F" w14:textId="77777777" w:rsidR="00BC0CF6" w:rsidRDefault="00000000">
      <w:pPr>
        <w:ind w:firstLine="720"/>
        <w:jc w:val="both"/>
      </w:pPr>
      <w:r>
        <w:t>El quinto capítulo de dicha ley concentra las disposiciones dirigidas al sector turístico y configura un régimen integrado de deberes y sanciones. En términos sustantivos, la norma exige a quienes operan servicios turísticos, y a cualquier persona natural o jurídica con capacidad de movilizar turismo hacia o desde el país, abstenerse por completo de ofrecer planes que comprometan la integridad sexual de menores, sea de forma abierta o velada, y adoptar medidas internas que impidan a sus trabajadores e intermediarios involucrarse en tales conductas. Se suma a esto una obligación informativa: los hoteles y establecimientos de hospedaje deben incorporar en sus contratos cláusulas que adviertan sobre las consecuencias penales del delito, mientras que agencias de viaje, operadores turísticos y aerolíneas deben replicar ese mensaje en sus canales de publicidad y comunicación con los usuarios que llegan al país. En el plano institucional, corresponde al ministerio competente ejercer inspección y vigilancia sobre la actividad turística con el propósito de prevenir la prostitución y el abuso contra menores. El régimen sancionatorio, por último, tipifica infracciones administrativas (publicidad sugerente, orientación a turistas hacia lugares de explotación, ingreso de menores a establecimientos para ese fin, entre otras) y establece un escalamiento de consecuencias que va desde multas de hasta trescientos salarios mínimos legales mensuales vigentes, pasando por la suspensión del Registro Nacional de Turismo por noventa días, hasta la cancelación de la inscripción por cinco años, medida que impide seguir operando en el sector.</w:t>
      </w:r>
    </w:p>
    <w:p w14:paraId="177EF4D2" w14:textId="77777777" w:rsidR="00BC0CF6" w:rsidRDefault="00000000">
      <w:pPr>
        <w:ind w:firstLine="720"/>
        <w:jc w:val="both"/>
      </w:pPr>
      <w:r>
        <w:lastRenderedPageBreak/>
        <w:t>Ocho años después, la Ley 1336 del 2009 reforzó esa estructura mediante una exigencia adicional: los prestadores turísticos, así como los establecimientos de hospedaje no turístico, deben adoptar códigos de conducta efectivos, exhibirlos en lugares visibles y mantenerlos actualizados. El Ministerio de Comercio, Industria y Turismo y la Superintendencia de Industria y Comercio asumieron la tarea de convocar al sector para la elaboración de un modelo de referencia, verificar el cumplimiento y aplicar sanciones en caso de omisión. La adhesión al código se convirtió, además, en requisito para inscribirse o actualizarse en el Registro Nacional de Turismo, con lo cual quien no se adhiere queda excluido del ejercicio formal de la actividad. Las autoridades distritales y municipales, por su lado, recibieron la tarea de realizar inspecciones periódicas y reportar los incumplimientos a las autoridades nacionales.</w:t>
      </w:r>
    </w:p>
    <w:p w14:paraId="7C82DE26" w14:textId="77777777" w:rsidR="00BC0CF6" w:rsidRDefault="00000000">
      <w:pPr>
        <w:ind w:firstLine="720"/>
        <w:jc w:val="both"/>
      </w:pPr>
      <w:r>
        <w:t>La operativización de estas obligaciones tomó forma a través de la Resolución 3840 del 2009, expedida por el Ministerio de Comercio, Industria y Turismo (2009). El instrumento adopta el Código de Conducta para la protección de niños, niñas y adolescentes en viajes y turismo, prohíbe a cualquier prestador registrado la oferta de planes vinculados con explotación sexual comercial de menores y ordena el despliegue de campañas de capacitación, sensibilización y denuncia, con la Policía de Turismo y el ICBF como entidades encargadas del seguimiento. Este código guarda coherencia con el Código Ético Mundial para el Turismo que, desde finales del siglo pasado, había proscrito expresamente el turismo dirigido a la explotación sexual infantil (Organización Mundial del Turismo, 1999).</w:t>
      </w:r>
    </w:p>
    <w:p w14:paraId="7C82DE26" w14:textId="77777777" w:rsidR="00BC0CF6" w:rsidRDefault="00000000">
      <w:pPr>
        <w:ind w:firstLine="720"/>
        <w:jc w:val="both"/>
      </w:pPr>
      <w:r>
        <w:rPr>
          <w:highlight w:val="yellow"/>
        </w:rPr>
        <w:t xml:space="preserve">La actualización más reciente del marco nacional llegó con la Ley 2068 del 2020, que modificó la Ley General de Turismo. </w:t>
      </w:r>
      <w:r>
        <w:rPr>
          <w:highlight w:val="yellow"/>
        </w:rPr>
        <w:t xml:space="preserve">Dos de sus disposiciones tocan de cerca este estudio. </w:t>
      </w:r>
      <w:r>
        <w:rPr>
          <w:highlight w:val="yellow"/>
        </w:rPr>
        <w:t xml:space="preserve">El artículo 38 sometió a las plataformas electrónicas o digitales de servicios turísticos a un régimen propio de obligaciones y condicionó su operación a la inscripción en el Registro Nacional de Turismo. </w:t>
      </w:r>
      <w:r>
        <w:rPr>
          <w:highlight w:val="yellow"/>
        </w:rPr>
        <w:t xml:space="preserve">La ley reforzó además las campañas, la capacitación y el control sobre establecimientos, agencias, plataformas y operadores en materia de prevención de la ESCNNA, con la exigencia de que el Gobierno Nacional determine acciones, indicadores, metas y mecanismos de reporte continuo. </w:t>
      </w:r>
      <w:r>
        <w:rPr>
          <w:highlight w:val="yellow"/>
        </w:rPr>
        <w:t xml:space="preserve">Reiteró también el deber de los prestadores de servicios de alojamiento de llevar el registro de huéspedes mediante la tarjeta de registro de alojamiento, instrumento central para identificar el ingreso de personas menores de edad. </w:t>
      </w:r>
      <w:r>
        <w:rPr>
          <w:highlight w:val="yellow"/>
        </w:rPr>
        <w:t xml:space="preserve">El Decreto 1836 del 2021 reglamentó esas previsiones: actualizó el Registro Nacional de Turismo y precisó las obligaciones de las plataformas, entre ellas interoperar con el registro, habilitar los campos para que el prestador informe los servicios ofrecidos y abstenerse de publicar anuncios de prestadores no inscritos o retirarlos cuando corresponda (Presidencia de la República de Colombia, 2021). </w:t>
      </w:r>
      <w:r>
        <w:rPr>
          <w:highlight w:val="yellow"/>
        </w:rPr>
        <w:t xml:space="preserve">El conjunto importa para el caso estudiado porque atiende, al menos sobre el papel, la modalidad de hospedaje mediado por plataformas que los informes territoriales identifican como una de las zonas grises del control.</w:t>
      </w:r>
    </w:p>
    <w:p w14:paraId="43914B0B" w14:textId="77777777" w:rsidR="00BC0CF6" w:rsidRDefault="00000000">
      <w:pPr>
        <w:ind w:firstLine="720"/>
        <w:jc w:val="both"/>
      </w:pPr>
      <w:r>
        <w:rPr>
          <w:highlight w:val="yellow"/>
        </w:rPr>
        <w:t xml:space="preserve">A nivel de política pública nacional, el instrumento rector en la materia es la Línea de Política Pública para la Prevención y Erradicación de la Explotación Sexual Comercial de Niñas, Niños y Adolescentes 2018 a 2028, adoptada por el Instituto Colombiano de Bienestar Familiar (2018). </w:t>
      </w:r>
      <w:r>
        <w:rPr>
          <w:highlight w:val="yellow"/>
        </w:rPr>
        <w:t xml:space="preserve">Conviene precisarlo, porque el Documento CONPES 3629 del 2009, citado con frecuencia en este campo, se ocupa en realidad del Sistema de Responsabilidad Penal para Adolescentes y no de la política nacional frente a la ESCNNA. </w:t>
      </w:r>
      <w:r>
        <w:rPr>
          <w:highlight w:val="yellow"/>
        </w:rPr>
        <w:t xml:space="preserve">La Línea de Política define el fenómeno como una modalidad de violencia que implica abuso sexual contra un niño, niña o adolescente a cambio de pago u otra contraprestación, y organiza la respuesta estatal alrededor de la generación de conocimiento e información, la prevención, la protección y el restablecimiento de derechos, y la articulación interinstitucional con la corresponsabilidad de la familia y la sociedad. </w:t>
      </w:r>
      <w:r>
        <w:rPr/>
        <w:t xml:space="preserve">El ICBF, en su rol de cabeza del Sistema Nacional de Bienestar Familiar, despliega su acción sobre la protección integral de la primera infancia, la adolescencia, la juventud y las familias en situación de vulnerabilidad. </w:t>
      </w:r>
      <w:r>
        <w:rPr>
          <w:highlight w:val="yellow"/>
        </w:rPr>
        <w:t xml:space="preserve">El Decreto 4840 del 2007 se ocupó, por su parte, de las funciones de comisarías de familia, defensores e inspectores de policía en los procesos de restablecimiento de derechos, con lo cual se consolidó una ruta administrativa que corre paralela a la vía penal (Presidencia de la República de Colombia, 2007). </w:t>
      </w:r>
      <w:r>
        <w:rPr>
          <w:highlight w:val="yellow"/>
        </w:rPr>
        <w:t xml:space="preserve">Bajo el paraguas de esa Línea de Política se impulsaron campañas nacionales como Ojos en todas partes y Turismo responsable con la niñez, enfocadas en dar visibilidad al problema y movilizar la denuncia ciudadana.</w:t>
      </w:r>
    </w:p>
    <w:p w14:paraId="37F8CCEC" w14:textId="77777777" w:rsidR="00BC0CF6" w:rsidRDefault="00000000">
      <w:pPr>
        <w:ind w:firstLine="720"/>
        <w:jc w:val="both"/>
      </w:pPr>
      <w:r>
        <w:t>En el escalón municipal, Medellín incorporó el principio de turismo responsable a su marco normativo local. El Acuerdo 020 del 2015 del Concejo adoptó la Política Pública de Turismo del Municipio y la orientó, según el artículo 2 del mismo acuerdo, hacia un intercambio de experiencias innovador, sostenible, responsable y universalmente accesible, con respeto por los límites físicos, éticos y patrimoniales del espacio en que se desenvuelve (Concejo de Medellín, 2015). El artículo 3 presenta la política como un escenario de articulación entre instituciones y organizaciones privadas dirigido al fortalecimiento sectorial, al mejoramiento de la infraestructura turística y al posicionamiento de la ciudad como destino sostenible. Aunque el acuerdo no aborda de manera expresa la ESCNNA, su orientación ética provee la base jurídica para montar programas de prevención y sensibilización.</w:t>
      </w:r>
    </w:p>
    <w:p w14:paraId="5EDA5119" w14:textId="77777777" w:rsidR="00BC0CF6" w:rsidRDefault="00000000">
      <w:pPr>
        <w:ind w:firstLine="720"/>
        <w:jc w:val="both"/>
      </w:pPr>
      <w:r>
        <w:t xml:space="preserve">Dos años después, el Acuerdo 054 del 2017 profundizó esa orientación. Su artículo 1 fija como objetivo adaptar la política de turismo a las nuevas dinámicas urbanas, bajo un enfoque </w:t>
      </w:r>
      <w:r>
        <w:lastRenderedPageBreak/>
        <w:t>sostenible, responsable y libre de delitos, con medidas, estrategias e instrumentos de planificación concretos (Concejo de Medellín, 2017). Pese a la formulación general, su alcance permite proyectar la protección de niños, niñas y adolescentes como un eje transversal de la planeación turística local.</w:t>
      </w:r>
    </w:p>
    <w:p w14:paraId="5EDA5119" w14:textId="77777777" w:rsidR="00BC0CF6" w:rsidRDefault="00000000">
      <w:pPr>
        <w:ind w:firstLine="720"/>
        <w:jc w:val="both"/>
      </w:pPr>
      <w:r>
        <w:rPr>
          <w:highlight w:val="yellow"/>
        </w:rPr>
        <w:t xml:space="preserve">Esa política municipal se reglamentó por vía de decreto. </w:t>
      </w:r>
      <w:r>
        <w:rPr>
          <w:highlight w:val="yellow"/>
        </w:rPr>
        <w:t xml:space="preserve">El Decreto 0328 del 2019 reglamentó la Política Pública de Turismo adoptada mediante el Acuerdo 020 del 2015 y modificada por el Acuerdo 054 del 2017, y la ordenó alrededor de cuatro líneas: gestión territorial del destino, competitividad sectorial, conectividad competitiva y promoción y mercadeo del destino (Alcaldía de Medellín, 2019). </w:t>
      </w:r>
      <w:r>
        <w:rPr>
          <w:highlight w:val="yellow"/>
        </w:rPr>
        <w:t xml:space="preserve">El Decreto 0758 del 2020 modificó esa reglamentación y ajustó los instrumentos de planificación previstos en ella (Alcaldía de Medellín, 2020). </w:t>
      </w:r>
      <w:r>
        <w:rPr>
          <w:highlight w:val="yellow"/>
        </w:rPr>
        <w:t xml:space="preserve">Ninguno de los dos aborda expresamente la ESCNNA, y ese silencio es en sí mismo un hallazgo: la línea de gestión territorial del destino, que es la que define la vocación sostenible y responsable de la ciudad, no incorpora indicadores ni acciones explícitas de prevención de la explotación sexual comercial de la niñez, pese a que el periodo de expedición de ambos decretos coincide con el de los diagnósticos institucionales que identificaron el problema en Medellín y señalaron a El Poblado entre las zonas críticas.</w:t>
      </w:r>
    </w:p>
    <w:p w14:paraId="78662457" w14:textId="77777777" w:rsidR="00BC0CF6" w:rsidRDefault="00000000">
      <w:pPr>
        <w:ind w:firstLine="720"/>
        <w:jc w:val="both"/>
      </w:pPr>
      <w:proofErr w:type="gramStart"/>
      <w:proofErr w:type="gramEnd"/>
      <w:r>
        <w:rPr>
          <w:highlight w:val="yellow"/>
        </w:rPr>
        <w:t xml:space="preserve">La Alcaldía de Medellín (2021), a través de la Secretaría de Turismo y Entretenimiento, reconoció abiertamente la problemática en un documento técnico titulado Explotación sexual comercial de niños, niñas y adolescentes asociada al turismo en Medellín. </w:t>
      </w:r>
      <w:r>
        <w:rPr/>
        <w:t xml:space="preserve">Allí se plantea que el fenómeno es una realidad verificable en la ciudad, vinculada con factores estructurales como la pobreza, la desigualdad y los mercados ilegales que se alimentan del flujo turístico para captar menores. </w:t>
      </w:r>
      <w:r>
        <w:rPr/>
        <w:t xml:space="preserve">Se identifican tres zonas especialmente expuestas: El Poblado, Laureles y el Centro. </w:t>
      </w:r>
      <w:r>
        <w:rPr/>
        <w:t xml:space="preserve">El documento concluye que sin articulación sostenida entre instituciones públicas, actores privados y comunidades, la prevención y la atención seguirán teniendo efectos limitados.</w:t>
      </w:r>
    </w:p>
    <w:p w14:paraId="018D0BE7" w14:textId="77777777" w:rsidR="00BC0CF6" w:rsidRDefault="00000000">
      <w:pPr>
        <w:ind w:firstLine="720"/>
        <w:jc w:val="both"/>
      </w:pPr>
      <w:r>
        <w:t>La Procuraduría General de la Nación (2020) ha complementado este diagnóstico con lineamientos específicos para las entidades territoriales, con énfasis en destinos turísticos. Medellín, en definitiva, ha logrado avances reales en el reconocimiento formal del problema y en el engranaje con las entidades nacionales. Lo que aún falta, para consolidar un entorno turístico efectivamente seguro para los menores, es la asignación estable de recursos, la consolidación de una cultura ciudadana de denuncia que involucre a la mayoría y mecanismos permanentes de coordinación entre lo público, lo privado y las organizaciones sociales.</w:t>
      </w:r>
    </w:p>
    <w:p w14:paraId="1B0E5EC8" w14:textId="77777777" w:rsidR="00BC0CF6" w:rsidRDefault="00000000">
      <w:pPr>
        <w:spacing w:before="240" w:after="120"/>
      </w:pPr>
      <w:r>
        <w:rPr>
          <w:b/>
          <w:bCs/>
        </w:rPr>
        <w:t xml:space="preserve">3.3. </w:t>
      </w:r>
      <w:r>
        <w:rPr>
          <w:b/>
          <w:bCs/>
          <w:highlight w:val="yellow"/>
        </w:rPr>
        <w:t xml:space="preserve">Evidencia documental sobre la implementación de las políticas públicas en la comuna 14 de Medellín</w:t>
      </w:r>
    </w:p>
    <w:p w14:paraId="1156EB89" w14:textId="77777777" w:rsidR="00BC0CF6" w:rsidRDefault="00000000">
      <w:pPr>
        <w:ind w:firstLine="720"/>
        <w:jc w:val="both"/>
      </w:pPr>
      <w:r>
        <w:t xml:space="preserve">El trabajo regulatorio descrito encuentra, en la comuna 14 conocida como El Poblado, su caso de prueba más exigente. Se trata de una de las zonas de mayor afluencia turística del país y concentra una oferta muy amplia de hoteles, hostales, bares, discotecas y arrendamientos </w:t>
      </w:r>
      <w:r>
        <w:lastRenderedPageBreak/>
        <w:t>temporales, configuración que, por sí sola, incrementa el riesgo de vulneración de los derechos de la niñez en escenarios turísticos (Fundación Renacer, 2020).</w:t>
      </w:r>
    </w:p>
    <w:p w14:paraId="1156EB89" w14:textId="77777777" w:rsidR="00BC0CF6" w:rsidRDefault="00000000">
      <w:pPr>
        <w:ind w:firstLine="720"/>
        <w:jc w:val="both"/>
      </w:pPr>
      <w:r>
        <w:rPr>
          <w:highlight w:val="yellow"/>
        </w:rPr>
        <w:t xml:space="preserve">Hace falta decir cómo se delimitó ese territorio y con qué alcance. </w:t>
      </w:r>
      <w:r>
        <w:rPr>
          <w:highlight w:val="yellow"/>
        </w:rPr>
        <w:t xml:space="preserve">La comuna 14 corresponde a la división político-administrativa de El Poblado dentro del municipio de Medellín. </w:t>
      </w:r>
      <w:r>
        <w:rPr>
          <w:highlight w:val="yellow"/>
        </w:rPr>
        <w:t xml:space="preserve">Su selección obedece a tres criterios verificables en las fuentes revisadas: concentra la mayor oferta de alojamiento formal e informal de la ciudad; es una de las tres áreas que la Alcaldía de Medellín (2021) identifica expresamente como críticas frente a la ESCNNA asociada al turismo, junto con Laureles y el Centro; y es el territorio que la Fundación Renacer (2020) asocia con la confluencia de turismo internacional, hospedaje mediado por plataformas y presencia de estructuras criminales organizadas. </w:t>
      </w:r>
      <w:r>
        <w:rPr>
          <w:highlight w:val="yellow"/>
        </w:rPr>
        <w:t xml:space="preserve">Hay una advertencia que atraviesa todo este apartado. </w:t>
      </w:r>
      <w:r>
        <w:rPr>
          <w:highlight w:val="yellow"/>
        </w:rPr>
        <w:t xml:space="preserve">Los informes oficiales de inspección, vigilancia y sanción del sector turístico se publican agregados a escala municipal y no permiten aislar cifras por comuna. </w:t>
      </w:r>
      <w:r>
        <w:rPr>
          <w:highlight w:val="yellow"/>
        </w:rPr>
        <w:t xml:space="preserve">Lo que sigue no es, entonces, una medición del efecto de las políticas en El Poblado. </w:t>
      </w:r>
      <w:r>
        <w:rPr>
          <w:highlight w:val="yellow"/>
        </w:rPr>
        <w:t xml:space="preserve">Es la reconstrucción de qué instrumentos le resultan aplicables, qué entidades son competentes y qué dicen las fuentes institucionales sobre su funcionamiento, con la comuna 14 como referente territorial del análisis y no como simple ejemplo ilustrativo.</w:t>
      </w:r>
    </w:p>
    <w:p w14:paraId="4E96B3AF" w14:textId="77777777" w:rsidR="00BC0CF6" w:rsidRDefault="00000000">
      <w:pPr>
        <w:ind w:firstLine="720"/>
        <w:jc w:val="both"/>
      </w:pPr>
      <w:r>
        <w:t>El tejido normativo nacional, ya descrito, asigna a la protección integral de niños, niñas y adolescentes el carácter de obligación prioritaria. El artículo 44 de la Constitución sostiene la arquitectura, y las Leyes 679 del 2001, 1098 del 2006 y 1336 del 2009 desarrollan esa obligación con deberes puntuales para el sector turístico y con un régimen sancionatorio que combina lo administrativo y lo penal. A ello se suma la Ley 1257 del 2008, que al abordar la violencia y la discriminación contra las mujeres incorpora un enfoque de género especialmente pertinente, puesto que las víctimas de ESCNNA son, en su gran mayoría, niñas y adolescentes mujeres (Congreso de la República de Colombia, 2008).</w:t>
      </w:r>
    </w:p>
    <w:p w14:paraId="067818A8" w14:textId="77777777" w:rsidR="00BC0CF6" w:rsidRDefault="00000000">
      <w:pPr>
        <w:ind w:firstLine="720"/>
        <w:jc w:val="both"/>
      </w:pPr>
      <w:r>
        <w:rPr/>
        <w:t xml:space="preserve">En lo municipal, Medellín acopló estos lineamientos a su propia política de turismo. </w:t>
      </w:r>
      <w:r>
        <w:rPr/>
        <w:t xml:space="preserve">El Acuerdo 020 del 2015 fijó un enfoque de sostenibilidad, responsabilidad y ética, condicionando el desarrollo del sector al respeto por los derechos fundamentales de la comunidad, infancia incluida. </w:t>
      </w:r>
      <w:r>
        <w:rPr/>
        <w:t xml:space="preserve">El Acuerdo 054 del 2017 agregó el adjetivo libre de delitos a esa orientación, lo que abre camino para tratar la protección de la niñez como eje transversal de la planeación turística de la ciudad. </w:t>
      </w:r>
      <w:r>
        <w:rPr>
          <w:highlight w:val="yellow"/>
        </w:rPr>
        <w:t xml:space="preserve">Esa cadena, sin embargo, se interrumpe al llegar al instrumento que efectivamente opera sobre el territorio. </w:t>
      </w:r>
      <w:r>
        <w:rPr>
          <w:highlight w:val="yellow"/>
        </w:rPr>
        <w:t xml:space="preserve">Los Decretos 0328 del 2019 y 0758 del 2020, que son los que reglamentan la política de turismo y ordenan sus líneas de acción, no mencionan la ESCNNA ni fijan indicadores de prevención (Alcaldía de Medellín, 2019, 2020). </w:t>
      </w:r>
      <w:r>
        <w:rPr>
          <w:highlight w:val="yellow"/>
        </w:rPr>
        <w:t xml:space="preserve">La comuna 14 queda así cubierta por deberes de fuente nacional, exigibles a los prestadores, pero sin un desarrollo municipal que los aterrice en la planeación turística del destino.</w:t>
      </w:r>
    </w:p>
    <w:p w14:paraId="4856992E" w14:textId="77777777" w:rsidR="00BC0CF6" w:rsidRDefault="00000000">
      <w:pPr>
        <w:ind w:firstLine="720"/>
        <w:jc w:val="both"/>
      </w:pPr>
      <w:r>
        <w:rPr>
          <w:highlight w:val="yellow"/>
        </w:rPr>
        <w:t xml:space="preserve">En el plano de los deberes exigibles, la aplicación de estas políticas en la comuna 14 se concreta en obligaciones puntuales. </w:t>
      </w:r>
      <w:r>
        <w:rPr/>
        <w:t xml:space="preserve">Los prestadores turísticos deben adoptar códigos de conducta, desplegar campañas de sensibilización, incluir cláusulas de advertencia en sus contratos de hospedaje y someterse a inspección y vigilancia. </w:t>
      </w:r>
      <w:r>
        <w:rPr/>
        <w:t xml:space="preserve">El diseño apunta a cortar las rutas mediante las cuales el turismo podría convertirse en vehículo de explotación, y a imponer deberes claros de advertencia, denuncia y corresponsabilidad.</w:t>
      </w:r>
    </w:p>
    <w:p w14:paraId="3D3F63BC" w14:textId="77777777" w:rsidR="00BC0CF6" w:rsidRDefault="00000000">
      <w:pPr>
        <w:ind w:firstLine="720"/>
        <w:jc w:val="both"/>
      </w:pPr>
      <w:r>
        <w:rPr/>
        <w:t xml:space="preserve">Dicho esto, la efectividad práctica de las políticas enfrenta obstáculos considerables. </w:t>
      </w:r>
      <w:r>
        <w:rPr>
          <w:highlight w:val="yellow"/>
        </w:rPr>
        <w:t xml:space="preserve">La Alcaldía de Medellín (2021) identificó a la comuna 14 como una de las áreas más vulnerables frente a la ESCNNA vinculada al turismo, debido a una combinación de factores estructurales: desigualdad socioeconómica del entorno, fuerte presencia de turistas extranjeros, informalidad en parte del mercado de alojamiento y un uso creciente de medios digitales para captar menores. </w:t>
      </w:r>
      <w:r>
        <w:rPr/>
        <w:t xml:space="preserve">La actual arquitectura regulatoria no siempre consigue contrarrestar esos elementos en tiempo real. </w:t>
      </w:r>
      <w:r>
        <w:rPr/>
        <w:t xml:space="preserve">Los estudios de ECPAT International (2016) sobre ofensores itinerantes confirman ese panorama al mostrar que la movilidad internacional y la porosidad de los controles locales constituyen los factores críticos en destinos de alta rotación.</w:t>
      </w:r>
    </w:p>
    <w:p w14:paraId="43E1FDF6" w14:textId="77777777" w:rsidR="00BC0CF6" w:rsidRDefault="00000000">
      <w:pPr>
        <w:ind w:firstLine="720"/>
        <w:jc w:val="both"/>
      </w:pPr>
      <w:r>
        <w:t>A ese cuadro se añaden las fallas de coordinación. Autoridades locales, Policía Nacional, ICBF, sector privado y comunidad actúan con capacidades desiguales y con escasa articulación entre sí, lo que merma la capacidad de respuesta frente al delito. Las redes de explotación, al operar simultáneamente en escenarios presenciales y digitales, complican la detección temprana y la judicialización efectiva (Defensoría del Pueblo, 2024). La Procuraduría General de la Nación (2020) viene insistiendo en la necesidad de mesas territoriales de articulación con seguimiento indicador a indicador, como condición indispensable para cualquier política que aspire a ser eficaz.</w:t>
      </w:r>
    </w:p>
    <w:p w14:paraId="4FD897F7" w14:textId="77777777" w:rsidR="00BC0CF6" w:rsidRDefault="00000000">
      <w:pPr>
        <w:ind w:firstLine="720"/>
        <w:jc w:val="both"/>
      </w:pPr>
      <w:r>
        <w:rPr>
          <w:highlight w:val="yellow"/>
        </w:rPr>
        <w:t xml:space="preserve">Lo que la documentación revisada permite sostener, por tanto, es que la aplicación de estas políticas en el territorio no puede leerse solo desde su existencia formal. </w:t>
      </w:r>
      <w:r>
        <w:rPr/>
        <w:t xml:space="preserve">Depende de la inspección sostenida sobre el sector turístico, de la formación permanente de los actores turísticos y policiales, y de una cultura ciudadana que denuncie y proteja a la niñez. </w:t>
      </w:r>
      <w:r>
        <w:rPr/>
        <w:t xml:space="preserve">Medellín avanzó en el reconocimiento del problema y en la construcción de un enfoque de turismo responsable, pero el caso de El Poblado muestra con nitidez que hace falta ajustar las estrategias institucionales si se quiere garantizar un entorno turístico verdaderamente seguro.</w:t>
      </w:r>
    </w:p>
    <w:p w14:paraId="434AB127" w14:textId="77777777" w:rsidR="00BC0CF6" w:rsidRDefault="00000000">
      <w:pPr>
        <w:ind w:firstLine="720"/>
        <w:jc w:val="both"/>
      </w:pPr>
      <w:r>
        <w:t xml:space="preserve">Se impone, entonces, reforzar la inspección y la vigilancia del sector turístico en la comuna 14, y asegurar que los códigos de conducta exigidos por las Leyes 679 del 2001 y 1336 del 2009 se apliquen con rigor. Los modelos internacionales de prevención más exitosos ofrecen pistas </w:t>
      </w:r>
      <w:r>
        <w:lastRenderedPageBreak/>
        <w:t>claras: combinan la regulación administrativa con programas permanentes de formación al sector hotelero, campañas dirigidas a turistas y a comunidades anfitrionas, y sistemas ágiles de denuncia y atención a víctimas (UNODC, 2022). La participación activa de organismos internacionales y la cooperación público privada aparecen, además, como factores determinantes para que El Poblado logre consolidar un modelo de turismo responsable que proteja efectivamente los derechos de la infancia.</w:t>
      </w:r>
    </w:p>
    <w:p w14:paraId="237AF784" w14:textId="77777777" w:rsidR="00BC0CF6" w:rsidRDefault="00000000">
      <w:pPr>
        <w:spacing w:before="240" w:after="120"/>
        <w:jc w:val="center"/>
      </w:pPr>
      <w:r>
        <w:rPr>
          <w:b/>
          <w:bCs/>
        </w:rPr>
        <w:t>4. Discusión</w:t>
      </w:r>
    </w:p>
    <w:p w14:paraId="3F764E55" w14:textId="77777777" w:rsidR="00BC0CF6" w:rsidRDefault="00000000">
      <w:pPr>
        <w:ind w:firstLine="720"/>
        <w:jc w:val="both"/>
      </w:pPr>
      <w:r>
        <w:rPr/>
        <w:t xml:space="preserve">Los hallazgos descritos habilitan varias lecturas que conviene articular. </w:t>
      </w:r>
      <w:r>
        <w:rPr/>
        <w:t xml:space="preserve">La más evidente apunta a una paradoja: Colombia, y Medellín como caso particular, disponen de una arquitectura normativa densa, técnicamente ajustada a los estándares internacionales vigentes. </w:t>
      </w:r>
      <w:r>
        <w:rPr/>
        <w:t xml:space="preserve">El problema, por consiguiente, no reside en ausencias normativas sino en déficit de aplicación. </w:t>
      </w:r>
      <w:r>
        <w:rPr>
          <w:highlight w:val="yellow"/>
        </w:rPr>
        <w:t xml:space="preserve">Roth Deubel (2002) había descrito esa brecha entre diseño y ejecución como característica de la gestión pública latinoamericana, y la comuna 14 la ilustra con claridad: pese al aumento del número de instrumentos regulatorios disponibles, los registros institucionales siguen dando cuenta de la persistencia del fenómeno. </w:t>
      </w:r>
      <w:r>
        <w:rPr/>
        <w:t xml:space="preserve">Galvis Ortiz (2009), al hacer balance de las dos primeras décadas de la Convención sobre los Derechos del Niño, había planteado una idea similar desde otra orilla: la efectividad de los derechos depende menos del volumen de leyes que de la calidad institucional encargada de aplicarlas.</w:t>
      </w:r>
    </w:p>
    <w:p w14:paraId="38A7E261" w14:textId="77777777" w:rsidR="00BC0CF6" w:rsidRDefault="00000000">
      <w:pPr>
        <w:ind w:firstLine="720"/>
        <w:jc w:val="both"/>
      </w:pPr>
      <w:r>
        <w:t xml:space="preserve">Una segunda lectura tiene que ver con la transformación profunda que experimentó la ESCNNA en los últimos años. El dato reportado por la Policía Nacional de Colombia (2023), según el cual el 86 % de las conductas registradas en 2023 ocurrió en ambientes virtuales, da cuenta de una mutación que la arquitectura regulatoria aún no asimila del todo. Las políticas vigentes se pensaron, en buena medida, para escenarios presenciales de hotelería y operación turística. Adaptarlas exige incorporar de manera decidida las dimensiones digitales del delito: captación vía </w:t>
      </w:r>
      <w:r>
        <w:lastRenderedPageBreak/>
        <w:t>redes sociales, producción y circulación de material de abuso en plataformas, monetización transfronteriza y hospedaje mediado por economía colaborativa. La literatura internacional respalda esta urgencia y sugiere que cualquier política sobre turismo debería dialogar con los marcos de gobernanza digital, todavía poco articulados con el sector.</w:t>
      </w:r>
    </w:p>
    <w:p w14:paraId="1BA4725D" w14:textId="77777777" w:rsidR="00BC0CF6" w:rsidRDefault="00000000">
      <w:pPr>
        <w:ind w:firstLine="720"/>
        <w:jc w:val="both"/>
      </w:pPr>
      <w:r>
        <w:t>Una tercera lectura es territorial. La concentración del riesgo en El Poblado no es producto del azar. Refleja la intersección entre intensa circulación turística, mercados informales de alojamiento y operación de redes delictivas organizadas (Montgomery, 2008). Enfrentar ese cruce requiere intervenciones focalizadas que combinen inspección urbanística, control sobre el Registro Nacional de Turismo, acompañamiento social a poblaciones en riesgo y pedagogía ciudadana. Cuando los códigos de conducta se adoptan sin inspección sistemática detrás, acaban convertidos en gestos formales de adhesión que no modifican las prácticas cotidianas del sector.</w:t>
      </w:r>
    </w:p>
    <w:p w14:paraId="0EC42C6F" w14:textId="77777777" w:rsidR="00BC0CF6" w:rsidRDefault="00000000">
      <w:pPr>
        <w:ind w:firstLine="720"/>
        <w:jc w:val="both"/>
      </w:pPr>
      <w:r>
        <w:t>Aparece, entonces, un nudo crítico: la articulación entre actores. ICBF, Ministerio de Comercio, Industria y Turismo, Superintendencia de Industria y Comercio, Policía de Turismo, Fiscalía, Defensoría y autoridades municipales tienen competencias concurrentes cuya superposición amenaza con convertirse en vacío efectivo de acción (</w:t>
      </w:r>
      <w:proofErr w:type="gramStart"/>
      <w:r>
        <w:t>Fiscalía General</w:t>
      </w:r>
      <w:proofErr w:type="gramEnd"/>
      <w:r>
        <w:t xml:space="preserve"> de la Nación, 2021). La experiencia internacional sugiere rutas promisorias. Save </w:t>
      </w:r>
      <w:proofErr w:type="spellStart"/>
      <w:r>
        <w:t>the</w:t>
      </w:r>
      <w:proofErr w:type="spellEnd"/>
      <w:r>
        <w:t xml:space="preserve"> </w:t>
      </w:r>
      <w:proofErr w:type="spellStart"/>
      <w:r>
        <w:t>Children</w:t>
      </w:r>
      <w:proofErr w:type="spellEnd"/>
      <w:r>
        <w:t xml:space="preserve"> (2017) ha documentado, para el caso español, que los modelos más eficaces privilegian mesas territoriales permanentes con mandatos operativos claros, indicadores públicos de cumplimiento y mecanismos de denuncia accesibles y protegidos. UNICEF (2021) ha reportado conclusiones similares desde América Latina y el Caribe.</w:t>
      </w:r>
    </w:p>
    <w:p w14:paraId="16E95F37" w14:textId="77777777" w:rsidR="00BC0CF6" w:rsidRDefault="00000000">
      <w:pPr>
        <w:ind w:firstLine="720"/>
        <w:jc w:val="both"/>
      </w:pPr>
      <w:r>
        <w:t xml:space="preserve">Hay todavía una cuarta lectura, quizá la más profunda. El enfoque de protección integral consagrado por la Ley 1098 del 2006 reclama ir más allá de la lógica sancionatoria. El derecho penal, con toda su relevancia, opera cuando el daño ya se ha consumado. Las causas estructurales </w:t>
      </w:r>
      <w:r>
        <w:lastRenderedPageBreak/>
        <w:t>que hacen posible la ESCNNA, como la pobreza, la desigualdad, la desintegración familiar o la exclusión educativa, requieren respuestas preventivas que una política sectorial de turismo no puede ofrecer por sí sola. Abordar el problema de manera efectiva exige articulaciones intersectoriales más ambiciosas, con políticas de educación, salud mental, protección social y seguridad ciudadana (Baratta, 2007; García Méndez, 2004).</w:t>
      </w:r>
    </w:p>
    <w:p w14:paraId="11F68000" w14:textId="77777777" w:rsidR="00BC0CF6" w:rsidRDefault="00000000">
      <w:pPr>
        <w:spacing w:before="240" w:after="120"/>
        <w:jc w:val="center"/>
      </w:pPr>
      <w:r>
        <w:rPr>
          <w:b/>
          <w:bCs/>
        </w:rPr>
        <w:t>5. Conclusiones</w:t>
      </w:r>
    </w:p>
    <w:p w14:paraId="38992A43" w14:textId="77777777" w:rsidR="00BC0CF6" w:rsidRDefault="00000000">
      <w:pPr>
        <w:ind w:firstLine="720"/>
        <w:jc w:val="both"/>
      </w:pPr>
      <w:r>
        <w:rPr>
          <w:highlight w:val="yellow"/>
        </w:rPr>
        <w:t xml:space="preserve">La revisión realizada permite sostener que los instrumentos de regulación turística dirigidos a prevenir la ESCNNA y aplicables a la comuna 14 de Medellín conforman un cuerpo normativo amplio, cuya aplicación territorial no es posible constatar con la documentación disponible. </w:t>
      </w:r>
      <w:r>
        <w:rPr>
          <w:highlight w:val="yellow"/>
        </w:rPr>
        <w:t xml:space="preserve">Las piezas jurídicas identificadas, que incluyen la Carta de 1991, las Leyes 679 del 2001, 1098 del 2006, 1336 del 2009, 1453 del 2011 y 2068 del 2020, la Resolución 3840 del 2009, el Decreto 1836 del 2021, los Acuerdos Municipales 020 del 2015 y 054 del 2017 y los Decretos Municipales 0328 del 2019 y 0758 del 2020, junto con la Línea de Política Pública para la Prevención y Erradicación de la ESCNNA 2018 a 2028, integran un sistema alineado con los estándares que traza la Convención sobre los Derechos del Niño. </w:t>
      </w:r>
      <w:r>
        <w:rPr>
          <w:highlight w:val="yellow"/>
        </w:rPr>
        <w:t xml:space="preserve">Los informes institucionales del periodo examinado, sin embargo, no registran un descenso del fenómeno, sino su persistencia; y la reglamentación municipal de la política de turismo, que es el instrumento llamado a aterrizar esos estándares en el territorio, no incorpora expresamente la prevención de la ESCNNA entre sus líneas de acción.</w:t>
      </w:r>
    </w:p>
    <w:p w14:paraId="66F710E6" w14:textId="77777777" w:rsidR="00BC0CF6" w:rsidRDefault="00000000">
      <w:pPr>
        <w:ind w:firstLine="720"/>
        <w:jc w:val="both"/>
      </w:pPr>
      <w:r>
        <w:t>La evolución reciente del fenómeno impone, además, repensar el diseño de la política pública. El desplazamiento del delito hacia ambientes virtuales y la creciente utilización de plataformas digitales de alojamiento reclaman herramientas regulatorias capaces de operar sobre dinámicas que la normativa del 2001 y del 2009 no alcanzó a anticipar plenamente. Actualizar ese marco no debería limitarse a endurecer sanciones. Debería, más bien, incorporar gobernanza digital, trazabilidad sobre plataformas y cooperación internacional como ejes estructurales.</w:t>
      </w:r>
    </w:p>
    <w:p w14:paraId="2F50291D" w14:textId="77777777" w:rsidR="00BC0CF6" w:rsidRDefault="00000000">
      <w:pPr>
        <w:ind w:firstLine="720"/>
        <w:jc w:val="both"/>
      </w:pPr>
      <w:r>
        <w:t xml:space="preserve">El caso de El Poblado muestra, por otra parte, que la eficacia de una política pública depende de tres factores que operan de manera concurrente: inspección y vigilancia sostenida sobre </w:t>
      </w:r>
      <w:r>
        <w:lastRenderedPageBreak/>
        <w:t>el sector turístico, articulación operativa entre entidades nacionales y locales con competencias concurrentes, y existencia de una cultura ciudadana de denuncia respaldada por canales oportunos y protegidos de atención. La ausencia o debilidad de cualquiera de estos elementos reduce cualquier regulación, por sofisticada que resulte, a un ejercicio puramente formal.</w:t>
      </w:r>
    </w:p>
    <w:p w14:paraId="3146040B" w14:textId="77777777" w:rsidR="00BC0CF6" w:rsidRDefault="00000000">
      <w:pPr>
        <w:ind w:firstLine="720"/>
        <w:jc w:val="both"/>
      </w:pPr>
      <w:r>
        <w:t>El enfoque de protección integral, a su turno, demanda respuestas que trasciendan el sector turístico. Las causas estructurales de la ESCNNA, desde la pobreza hasta la exclusión educativa, no se resuelven con regulación de ese mercado, aunque el mercado pueda contener factores precipitantes. Una estrategia con vocación de durabilidad exige articulaciones con las políticas de educación, salud, protección social y seguridad ciudadana, además del reconocimiento explícito del papel de la familia y la sociedad como corresponsables.</w:t>
      </w:r>
    </w:p>
    <w:p w14:paraId="6615F0E9" w14:textId="77777777" w:rsidR="00BC0CF6" w:rsidRDefault="00000000">
      <w:pPr>
        <w:ind w:firstLine="720"/>
        <w:jc w:val="both"/>
      </w:pPr>
      <w:r>
        <w:rPr>
          <w:highlight w:val="yellow"/>
        </w:rPr>
        <w:t xml:space="preserve">Para terminar, el estudio sugiere que las investigaciones futuras avancen sobre las fuentes que esta revisión no alcanzó: los informes de inspección, vigilancia y sanción desagregados por comuna, los registros de adhesión y verificación de los códigos de conducta en el Registro Nacional de Turismo y la información de las plataformas de alojamiento sujetas al Decreto 1836 del 2021. </w:t>
      </w:r>
      <w:r>
        <w:rPr>
          <w:highlight w:val="yellow"/>
        </w:rPr>
        <w:t xml:space="preserve">El acceso a esos datos, hoy agregados o no publicados, es la condición para medir con precisión la eficacia de los mecanismos de inspección y el alcance real de los códigos de conducta. </w:t>
      </w:r>
      <w:r>
        <w:rPr/>
        <w:t xml:space="preserve">Proteger de manera efectiva a la infancia en territorios sometidos a alta presión turística no es un resultado espontáneo del marco normativo. </w:t>
      </w:r>
      <w:r>
        <w:rPr/>
        <w:t xml:space="preserve">Es el producto de una institucionalidad activa, articulada y vigilante.</w:t>
      </w:r>
    </w:p>
    <w:p w14:paraId="72C80F74" w14:textId="77777777" w:rsidR="00BC0CF6" w:rsidRDefault="00000000">
      <w:r>
        <w:br w:type="page"/>
      </w:r>
    </w:p>
    <w:p w14:paraId="0005DC2A" w14:textId="77777777" w:rsidR="00BC0CF6" w:rsidRDefault="00000000">
      <w:pPr>
        <w:spacing w:before="240" w:after="120"/>
        <w:jc w:val="center"/>
      </w:pPr>
      <w:r>
        <w:rPr>
          <w:b/>
          <w:bCs/>
        </w:rPr>
        <w:lastRenderedPageBreak/>
        <w:t>Referencias</w:t>
      </w:r>
    </w:p>
    <w:p w14:paraId="7BDBF705" w14:textId="77777777" w:rsidR="00BC0CF6" w:rsidRDefault="00000000">
      <w:pPr>
        <w:ind w:left="720" w:hanging="720"/>
      </w:pPr>
      <w:r>
        <w:rPr>
          <w:highlight w:val="yellow"/>
        </w:rPr>
        <w:t xml:space="preserve">Alcaldía de Medellín. (2019). </w:t>
      </w:r>
      <w:r>
        <w:rPr>
          <w:i/>
          <w:iCs/>
          <w:highlight w:val="yellow"/>
        </w:rPr>
        <w:t xml:space="preserve">Decreto 0328 de 2019, por medio del cual se reglamenta la Política Pública de Turismo del Municipio de Medellín, adoptada mediante el Acuerdo 020 de 2015 y modificada por el Acuerdo 054 de 2017</w:t>
      </w:r>
      <w:r>
        <w:rPr>
          <w:highlight w:val="yellow"/>
        </w:rPr>
        <w:t xml:space="preserve">. Gaceta Oficial del Municipio de Medellín. https://www.medellin.gov.co</w:t>
      </w:r>
    </w:p>
    <w:p w14:paraId="7BDBF705" w14:textId="77777777" w:rsidR="00BC0CF6" w:rsidRDefault="00000000">
      <w:pPr>
        <w:ind w:left="720" w:hanging="720"/>
      </w:pPr>
      <w:r>
        <w:rPr>
          <w:highlight w:val="yellow"/>
        </w:rPr>
        <w:t xml:space="preserve">Alcaldía de Medellín. (2020). </w:t>
      </w:r>
      <w:r>
        <w:rPr>
          <w:i/>
          <w:iCs/>
          <w:highlight w:val="yellow"/>
        </w:rPr>
        <w:t xml:space="preserve">Decreto 0758 de 2020, por medio del cual se modifica el Decreto 0328 de 2019 y se reglamenta la Política Pública de Turismo del Municipio de Medellín</w:t>
      </w:r>
      <w:r>
        <w:rPr>
          <w:highlight w:val="yellow"/>
        </w:rPr>
        <w:t xml:space="preserve">. Gaceta Oficial del Municipio de Medellín. https://www.medellin.gov.co</w:t>
      </w:r>
    </w:p>
    <w:p w14:paraId="7BDBF705" w14:textId="77777777" w:rsidR="00BC0CF6" w:rsidRDefault="00000000">
      <w:pPr>
        <w:ind w:left="720" w:hanging="720"/>
      </w:pPr>
      <w:r>
        <w:rPr>
          <w:highlight w:val="yellow"/>
        </w:rPr>
        <w:t xml:space="preserve">Alcaldía de Medellín. (2021). </w:t>
      </w:r>
      <w:r>
        <w:rPr>
          <w:i/>
          <w:iCs/>
          <w:highlight w:val="yellow"/>
        </w:rPr>
        <w:t xml:space="preserve">Explotación sexual comercial de niños, niñas y adolescentes asociada al turismo en Medellín</w:t>
      </w:r>
      <w:r>
        <w:rPr>
          <w:highlight w:val="yellow"/>
        </w:rPr>
        <w:t xml:space="preserve">. Secretaría de Turismo y Entretenimiento. https://www.medellin.gov.co</w:t>
      </w:r>
    </w:p>
    <w:p w14:paraId="40A06AC3" w14:textId="77777777" w:rsidR="00BC0CF6" w:rsidRDefault="00000000">
      <w:pPr>
        <w:ind w:left="720" w:hanging="720"/>
      </w:pPr>
      <w:r>
        <w:t xml:space="preserve">Baratta, A. (2007). Democracia y derechos del niño. </w:t>
      </w:r>
      <w:r>
        <w:rPr>
          <w:i/>
          <w:iCs/>
        </w:rPr>
        <w:t>Justicia y Derechos del Niño, 9</w:t>
      </w:r>
      <w:r>
        <w:t>, 17-26.</w:t>
      </w:r>
    </w:p>
    <w:p w14:paraId="652C8A7D" w14:textId="77777777" w:rsidR="00BC0CF6" w:rsidRDefault="00000000">
      <w:pPr>
        <w:ind w:left="720" w:hanging="720"/>
      </w:pPr>
      <w:r>
        <w:t xml:space="preserve">Beloff, M. (2004). </w:t>
      </w:r>
      <w:r>
        <w:rPr>
          <w:i/>
          <w:iCs/>
        </w:rPr>
        <w:t>Los derechos del niño en el sistema interamericano</w:t>
      </w:r>
      <w:r>
        <w:t>. Editores del Puerto.</w:t>
      </w:r>
    </w:p>
    <w:p w14:paraId="78C9BA78" w14:textId="77777777" w:rsidR="00BC0CF6" w:rsidRDefault="00000000">
      <w:pPr>
        <w:ind w:left="720" w:hanging="720"/>
      </w:pPr>
      <w:r>
        <w:t xml:space="preserve">Carmona Parra, J. A. (2014). </w:t>
      </w:r>
      <w:r>
        <w:rPr>
          <w:i/>
          <w:iCs/>
        </w:rPr>
        <w:t>Abuso sexual infantil: aproximaciones teóricas e investigativas</w:t>
      </w:r>
      <w:r>
        <w:t>. Fondo Editorial Universidad Católica Luis Amigó.</w:t>
      </w:r>
    </w:p>
    <w:p w14:paraId="6E037E5C" w14:textId="77777777" w:rsidR="00BC0CF6" w:rsidRDefault="00000000">
      <w:pPr>
        <w:ind w:left="720" w:hanging="720"/>
      </w:pPr>
      <w:r>
        <w:t xml:space="preserve">Cillero </w:t>
      </w:r>
      <w:proofErr w:type="spellStart"/>
      <w:r>
        <w:t>Bruñol</w:t>
      </w:r>
      <w:proofErr w:type="spellEnd"/>
      <w:r>
        <w:t xml:space="preserve">, M. (1999). El interés superior del niño en el marco de la Convención Internacional sobre los Derechos del Niño. En E. García Méndez y M. Beloff (Eds.), </w:t>
      </w:r>
      <w:r>
        <w:rPr>
          <w:i/>
          <w:iCs/>
        </w:rPr>
        <w:t>Infancia, ley y democracia en América Latina</w:t>
      </w:r>
      <w:r>
        <w:t xml:space="preserve"> (pp. 69-86). Temis.</w:t>
      </w:r>
    </w:p>
    <w:p w14:paraId="17137780" w14:textId="77777777" w:rsidR="00BC0CF6" w:rsidRDefault="00000000">
      <w:pPr>
        <w:ind w:left="720" w:hanging="720"/>
      </w:pPr>
      <w:r>
        <w:t xml:space="preserve">Concejo de Medellín. (2015). </w:t>
      </w:r>
      <w:r>
        <w:rPr>
          <w:i/>
          <w:iCs/>
        </w:rPr>
        <w:t>Acuerdo 020 de 2015, por el cual se adopta la Política Pública de Turismo del Municipio de Medellín</w:t>
      </w:r>
      <w:r>
        <w:t>.</w:t>
      </w:r>
    </w:p>
    <w:p w14:paraId="60DC2883" w14:textId="77777777" w:rsidR="00BC0CF6" w:rsidRDefault="00000000">
      <w:pPr>
        <w:ind w:left="720" w:hanging="720"/>
      </w:pPr>
      <w:r>
        <w:t xml:space="preserve">Concejo de Medellín. (2017). </w:t>
      </w:r>
      <w:r>
        <w:rPr>
          <w:i/>
          <w:iCs/>
        </w:rPr>
        <w:t>Acuerdo 054 de 2017, por medio del cual se modifica el Acuerdo 020 de 2015</w:t>
      </w:r>
      <w:r>
        <w:t>.</w:t>
      </w:r>
    </w:p>
    <w:p w14:paraId="790B2093" w14:textId="77777777" w:rsidR="00BC0CF6" w:rsidRDefault="00000000">
      <w:pPr>
        <w:ind w:left="720" w:hanging="720"/>
      </w:pPr>
      <w:r>
        <w:t xml:space="preserve">Congreso de la República de Colombia. (1991). </w:t>
      </w:r>
      <w:r>
        <w:rPr>
          <w:i/>
          <w:iCs/>
        </w:rPr>
        <w:t>Ley 12 de 1991, por medio de la cual se aprueba la Convención sobre los Derechos del Niño adoptada por la Asamblea General de las Naciones Unidas el 20 de noviembre de 1989</w:t>
      </w:r>
      <w:r>
        <w:t>. Diario Oficial No. 39.640.</w:t>
      </w:r>
    </w:p>
    <w:p w14:paraId="3AED9253" w14:textId="77777777" w:rsidR="00BC0CF6" w:rsidRDefault="00000000">
      <w:pPr>
        <w:ind w:left="720" w:hanging="720"/>
      </w:pPr>
      <w:r>
        <w:t xml:space="preserve">Congreso de la República de Colombia. (2000). </w:t>
      </w:r>
      <w:r>
        <w:rPr>
          <w:i/>
          <w:iCs/>
        </w:rPr>
        <w:t>Ley 599 de 2000, por la cual se expide el Código Penal</w:t>
      </w:r>
      <w:r>
        <w:t>. Diario Oficial No. 44.097. https://www.funcionpublica.gov.co/eva/gestornormativo/norma.php?i=6388</w:t>
      </w:r>
    </w:p>
    <w:p w14:paraId="47135BC9" w14:textId="77777777" w:rsidR="00BC0CF6" w:rsidRDefault="00000000">
      <w:pPr>
        <w:ind w:left="720" w:hanging="720"/>
      </w:pPr>
      <w:r>
        <w:t xml:space="preserve">Congreso de la República de Colombia. (2001). </w:t>
      </w:r>
      <w:r>
        <w:rPr>
          <w:i/>
          <w:iCs/>
        </w:rPr>
        <w:t xml:space="preserve">Ley 679 de 2001, por medio de la cual se expide un estatuto para prevenir y contrarrestar la explotación, la pornografía y el turismo </w:t>
      </w:r>
      <w:r>
        <w:rPr>
          <w:i/>
          <w:iCs/>
        </w:rPr>
        <w:lastRenderedPageBreak/>
        <w:t>sexual con menores</w:t>
      </w:r>
      <w:r>
        <w:t>. Diario Oficial No. 44.509. https://www.funcionpublica.gov.co/eva/gestornormativo/norma.php?i=18309</w:t>
      </w:r>
    </w:p>
    <w:p w14:paraId="4CB4FB7F" w14:textId="77777777" w:rsidR="00BC0CF6" w:rsidRDefault="00000000">
      <w:pPr>
        <w:ind w:left="720" w:hanging="720"/>
      </w:pPr>
      <w:r>
        <w:t xml:space="preserve">Congreso de la República de Colombia. (2006). </w:t>
      </w:r>
      <w:r>
        <w:rPr>
          <w:i/>
          <w:iCs/>
        </w:rPr>
        <w:t>Ley 1098 de 2006, por la cual se expide el Código de la Infancia y la Adolescencia</w:t>
      </w:r>
      <w:r>
        <w:t>. Diario Oficial No. 46.446. https://www.icbf.gov.co/sites/default/files/codigoinfancialey1098.pdf</w:t>
      </w:r>
    </w:p>
    <w:p w14:paraId="562109EE" w14:textId="77777777" w:rsidR="00BC0CF6" w:rsidRDefault="00000000">
      <w:pPr>
        <w:ind w:left="720" w:hanging="720"/>
      </w:pPr>
      <w:r>
        <w:t xml:space="preserve">Congreso de la República de Colombia. (2008). </w:t>
      </w:r>
      <w:r>
        <w:rPr>
          <w:i/>
          <w:iCs/>
        </w:rPr>
        <w:t>Ley 1257 de 2008, por la cual se dictan normas de sensibilización, prevención y sanción de formas de violencia y discriminación contra las mujeres</w:t>
      </w:r>
      <w:r>
        <w:t>. Diario Oficial No. 47.193.</w:t>
      </w:r>
    </w:p>
    <w:p w14:paraId="4C86E4A6" w14:textId="77777777" w:rsidR="00BC0CF6" w:rsidRDefault="00000000">
      <w:pPr>
        <w:ind w:left="720" w:hanging="720"/>
      </w:pPr>
      <w:r>
        <w:t xml:space="preserve">Congreso de la República de Colombia. (2009). </w:t>
      </w:r>
      <w:r>
        <w:rPr>
          <w:i/>
          <w:iCs/>
        </w:rPr>
        <w:t>Ley 1336 de 2009, por medio de la cual se adiciona y robustece la Ley 679 de 2001, de lucha contra la explotación, la pornografía y el turismo sexual con niños, niñas y adolescentes</w:t>
      </w:r>
      <w:r>
        <w:t>. Diario Oficial No. 47.417. https://www.funcionpublica.gov.co/eva/gestornormativo/norma.php?i=36879</w:t>
      </w:r>
    </w:p>
    <w:p w14:paraId="6DFE9170" w14:textId="77777777" w:rsidR="00BC0CF6" w:rsidRDefault="00000000">
      <w:pPr>
        <w:ind w:left="720" w:hanging="720"/>
      </w:pPr>
      <w:r>
        <w:t xml:space="preserve">Congreso de la República de Colombia. (2011). </w:t>
      </w:r>
      <w:r>
        <w:rPr>
          <w:i/>
          <w:iCs/>
        </w:rPr>
        <w:t>Ley 1453 de 2011, por medio de la cual se reforma el Código Penal, el Código de Procedimiento Penal, el Código de Infancia y Adolescencia, las reglas sobre extinción de dominio y se dictan otras disposiciones en materia de seguridad</w:t>
      </w:r>
      <w:r>
        <w:t>. Diario Oficial No. 48.110.</w:t>
      </w:r>
    </w:p>
    <w:p w14:paraId="6DFE9170" w14:textId="77777777" w:rsidR="00BC0CF6" w:rsidRDefault="00000000">
      <w:pPr>
        <w:ind w:left="720" w:hanging="720"/>
      </w:pPr>
      <w:r>
        <w:rPr>
          <w:highlight w:val="yellow"/>
        </w:rPr>
        <w:t xml:space="preserve">Congreso de la República de Colombia. (2020). </w:t>
      </w:r>
      <w:r>
        <w:rPr>
          <w:i/>
          <w:iCs/>
          <w:highlight w:val="yellow"/>
        </w:rPr>
        <w:t xml:space="preserve">Ley 2068 de 2020, por el cual se modifica la Ley General de Turismo y se dictan otras disposiciones</w:t>
      </w:r>
      <w:r>
        <w:rPr>
          <w:highlight w:val="yellow"/>
        </w:rPr>
        <w:t xml:space="preserve">. https://www.funcionpublica.gov.co/eva/gestornormativo/norma.php?i=172558</w:t>
      </w:r>
    </w:p>
    <w:p w14:paraId="5A1E6D6C" w14:textId="77777777" w:rsidR="00BC0CF6" w:rsidRDefault="00000000">
      <w:pPr>
        <w:ind w:left="720" w:hanging="720"/>
      </w:pPr>
      <w:r>
        <w:t>Constitución Política de Colombia. (1991). Asamblea Nacional Constituyente. Gaceta Constitucional No. 116. https://www.funcionpublica.gov.co/eva/gestornormativo/norma.php?i=4125</w:t>
      </w:r>
    </w:p>
    <w:p w14:paraId="5C58AC43" w14:textId="77777777" w:rsidR="00BC0CF6" w:rsidRDefault="00000000">
      <w:pPr>
        <w:ind w:left="720" w:hanging="720"/>
      </w:pPr>
      <w:r>
        <w:t xml:space="preserve">Corte Constitucional de Colombia. (9 de junio de 2003). </w:t>
      </w:r>
      <w:r>
        <w:rPr>
          <w:i/>
          <w:iCs/>
        </w:rPr>
        <w:t>Sentencia T-510 de 2003</w:t>
      </w:r>
      <w:r>
        <w:t xml:space="preserve"> [MP Manuel José Cepeda Espinosa].</w:t>
      </w:r>
    </w:p>
    <w:p w14:paraId="50D572FC" w14:textId="77777777" w:rsidR="00BC0CF6" w:rsidRDefault="00000000">
      <w:pPr>
        <w:ind w:left="720" w:hanging="720"/>
      </w:pPr>
      <w:r>
        <w:t xml:space="preserve">Corte Constitucional de Colombia. (7 de marzo de 2013). </w:t>
      </w:r>
      <w:r>
        <w:rPr>
          <w:i/>
          <w:iCs/>
        </w:rPr>
        <w:t>Sentencia T-117 de 2013</w:t>
      </w:r>
      <w:r>
        <w:t xml:space="preserve"> [MP Alexei Julio Estrada].</w:t>
      </w:r>
    </w:p>
    <w:p w14:paraId="27A915EC" w14:textId="77777777" w:rsidR="00BC0CF6" w:rsidRDefault="00000000">
      <w:pPr>
        <w:ind w:left="720" w:hanging="720"/>
      </w:pPr>
      <w:r>
        <w:lastRenderedPageBreak/>
        <w:t xml:space="preserve">Corte Constitucional de Colombia. (9 de noviembre de 2017). </w:t>
      </w:r>
      <w:r>
        <w:rPr>
          <w:i/>
          <w:iCs/>
        </w:rPr>
        <w:t>Sentencia SU-677 de 2017</w:t>
      </w:r>
      <w:r>
        <w:t xml:space="preserve"> [MP Gloria Stella Ortiz Delgado].</w:t>
      </w:r>
    </w:p>
    <w:p w14:paraId="1CBAD98D" w14:textId="77777777" w:rsidR="00BC0CF6" w:rsidRDefault="00000000">
      <w:pPr>
        <w:ind w:left="720" w:hanging="720"/>
      </w:pPr>
      <w:r>
        <w:t xml:space="preserve">Corte Suprema de Justicia de Colombia, Sala de Casación Penal. (4 de diciembre de 2019). </w:t>
      </w:r>
      <w:r>
        <w:rPr>
          <w:i/>
          <w:iCs/>
        </w:rPr>
        <w:t>Sentencia SP-5000 de 2019, Radicado 53.476</w:t>
      </w:r>
      <w:r>
        <w:t xml:space="preserve"> [MP Luis Antonio Hernández Barbosa].</w:t>
      </w:r>
    </w:p>
    <w:p w14:paraId="4738AF65" w14:textId="77777777" w:rsidR="00BC0CF6" w:rsidRDefault="00000000">
      <w:pPr>
        <w:ind w:left="720" w:hanging="720"/>
      </w:pPr>
      <w:r w:rsidRPr="00665F4C">
        <w:rPr>
          <w:lang w:val="en-US"/>
        </w:rPr>
        <w:t xml:space="preserve">Creswell, J. W. y Creswell, J. D. (2021). </w:t>
      </w:r>
      <w:r w:rsidRPr="00665F4C">
        <w:rPr>
          <w:i/>
          <w:iCs/>
          <w:lang w:val="en-US"/>
        </w:rPr>
        <w:t xml:space="preserve">Research design: Qualitative, quantitative, and mixed methods </w:t>
      </w:r>
      <w:proofErr w:type="gramStart"/>
      <w:r w:rsidRPr="00665F4C">
        <w:rPr>
          <w:i/>
          <w:iCs/>
          <w:lang w:val="en-US"/>
        </w:rPr>
        <w:t>approaches</w:t>
      </w:r>
      <w:proofErr w:type="gramEnd"/>
      <w:r w:rsidRPr="00665F4C">
        <w:rPr>
          <w:lang w:val="en-US"/>
        </w:rPr>
        <w:t xml:space="preserve"> (5.ª ed.). </w:t>
      </w:r>
      <w:r>
        <w:t xml:space="preserve">SAGE </w:t>
      </w:r>
      <w:proofErr w:type="spellStart"/>
      <w:r>
        <w:t>Publications</w:t>
      </w:r>
      <w:proofErr w:type="spellEnd"/>
      <w:r>
        <w:t>.</w:t>
      </w:r>
    </w:p>
    <w:p w14:paraId="64AD7FDE" w14:textId="77777777" w:rsidR="00BC0CF6" w:rsidRDefault="00000000">
      <w:pPr>
        <w:ind w:left="720" w:hanging="720"/>
      </w:pPr>
      <w:r>
        <w:t xml:space="preserve">Defensoría del Pueblo. (2024). </w:t>
      </w:r>
      <w:r>
        <w:rPr>
          <w:i/>
          <w:iCs/>
        </w:rPr>
        <w:t>Informe sobre explotación sexual comercial de niñas, niños y adolescentes en Colombia</w:t>
      </w:r>
      <w:r>
        <w:t>. https://www.defensoria.gov.co</w:t>
      </w:r>
    </w:p>
    <w:p w14:paraId="3C0D3382" w14:textId="77777777" w:rsidR="00BC0CF6" w:rsidRDefault="00000000">
      <w:pPr>
        <w:ind w:left="720" w:hanging="720"/>
      </w:pPr>
      <w:r>
        <w:t xml:space="preserve">Durán-Strauch, E., Guáqueta-Rodríguez, C. A. y Torres-Quintero, A. (2011). Restablecimiento de derechos de niños, niñas y adolescentes en el sistema nacional de bienestar familiar. </w:t>
      </w:r>
      <w:r>
        <w:rPr>
          <w:i/>
          <w:iCs/>
        </w:rPr>
        <w:t>Revista Latinoamericana de Ciencias Sociales, Niñez y Juventud, 9</w:t>
      </w:r>
      <w:r>
        <w:t>(2), 549-559.</w:t>
      </w:r>
    </w:p>
    <w:p w14:paraId="617DCEE0" w14:textId="77777777" w:rsidR="00BC0CF6" w:rsidRDefault="00000000">
      <w:pPr>
        <w:ind w:left="720" w:hanging="720"/>
      </w:pPr>
      <w:r>
        <w:t xml:space="preserve">ECPAT International. </w:t>
      </w:r>
      <w:r w:rsidRPr="00665F4C">
        <w:rPr>
          <w:lang w:val="en-US"/>
        </w:rPr>
        <w:t xml:space="preserve">(2016). </w:t>
      </w:r>
      <w:r w:rsidRPr="00665F4C">
        <w:rPr>
          <w:i/>
          <w:iCs/>
          <w:lang w:val="en-US"/>
        </w:rPr>
        <w:t>Offenders on the move: Global study on sexual exploitation of children in travel and tourism</w:t>
      </w:r>
      <w:r w:rsidRPr="00665F4C">
        <w:rPr>
          <w:lang w:val="en-US"/>
        </w:rPr>
        <w:t xml:space="preserve">. </w:t>
      </w:r>
      <w:r>
        <w:t>ECPAT International.</w:t>
      </w:r>
    </w:p>
    <w:p w14:paraId="3276609C" w14:textId="77777777" w:rsidR="00BC0CF6" w:rsidRDefault="00000000">
      <w:pPr>
        <w:ind w:left="720" w:hanging="720"/>
      </w:pPr>
      <w:r>
        <w:t xml:space="preserve">ECPAT International. (2018). </w:t>
      </w:r>
      <w:r>
        <w:rPr>
          <w:i/>
          <w:iCs/>
        </w:rPr>
        <w:t>Informe global de monitoreo de las acciones en contra de la explotación sexual comercial de niños: Colombia</w:t>
      </w:r>
      <w:r>
        <w:t>. ECPAT International.</w:t>
      </w:r>
    </w:p>
    <w:p w14:paraId="02651678" w14:textId="77777777" w:rsidR="00BC0CF6" w:rsidRDefault="00000000">
      <w:pPr>
        <w:ind w:left="720" w:hanging="720"/>
      </w:pPr>
      <w:r>
        <w:t xml:space="preserve">Fiscalía General de la Nación. (2021). </w:t>
      </w:r>
      <w:r>
        <w:rPr>
          <w:i/>
          <w:iCs/>
        </w:rPr>
        <w:t>Informe de gestión sobre delitos contra la libertad, integridad y formación sexuales en menores de edad</w:t>
      </w:r>
      <w:r>
        <w:t>. Fiscalía General de la Nación.</w:t>
      </w:r>
    </w:p>
    <w:p w14:paraId="7B1BAC3E" w14:textId="77777777" w:rsidR="00BC0CF6" w:rsidRDefault="00000000">
      <w:pPr>
        <w:ind w:left="720" w:hanging="720"/>
      </w:pPr>
      <w:r>
        <w:t xml:space="preserve">Fundación Renacer. (2020). </w:t>
      </w:r>
      <w:r>
        <w:rPr>
          <w:i/>
          <w:iCs/>
        </w:rPr>
        <w:t>La explotación sexual comercial de niños, niñas y adolescentes en Colombia: dinámicas y retos</w:t>
      </w:r>
      <w:r>
        <w:t>. Fundación Renacer. https://www.fundacionrenacer.org</w:t>
      </w:r>
    </w:p>
    <w:p w14:paraId="6FABBEA2" w14:textId="77777777" w:rsidR="00BC0CF6" w:rsidRDefault="00000000">
      <w:pPr>
        <w:ind w:left="720" w:hanging="720"/>
      </w:pPr>
      <w:r>
        <w:lastRenderedPageBreak/>
        <w:t xml:space="preserve">Galvis Ortiz, L. (2009). La convención de los derechos del niño veinte años después. </w:t>
      </w:r>
      <w:r>
        <w:rPr>
          <w:i/>
          <w:iCs/>
        </w:rPr>
        <w:t>Revista Latinoamericana de Ciencias Sociales, Niñez y Juventud, 7</w:t>
      </w:r>
      <w:r>
        <w:t>(2), 587-619.</w:t>
      </w:r>
    </w:p>
    <w:p w14:paraId="2ABD4437" w14:textId="77777777" w:rsidR="00BC0CF6" w:rsidRDefault="00000000">
      <w:pPr>
        <w:ind w:left="720" w:hanging="720"/>
      </w:pPr>
      <w:r>
        <w:t xml:space="preserve">García Méndez, E. (2004). </w:t>
      </w:r>
      <w:r>
        <w:rPr>
          <w:i/>
          <w:iCs/>
        </w:rPr>
        <w:t>Infancia: de los derechos y de la justicia</w:t>
      </w:r>
      <w:r>
        <w:t xml:space="preserve"> (2.ª ed.). Editores del Puerto.</w:t>
      </w:r>
    </w:p>
    <w:p w14:paraId="39EEB318" w14:textId="77777777" w:rsidR="00BC0CF6" w:rsidRDefault="00000000">
      <w:pPr>
        <w:ind w:left="720" w:hanging="720"/>
      </w:pPr>
      <w:r>
        <w:t xml:space="preserve">Hernández-Sampieri, R. y Mendoza Torres, C. P. (2021). </w:t>
      </w:r>
      <w:r>
        <w:rPr>
          <w:i/>
          <w:iCs/>
        </w:rPr>
        <w:t>Metodología de la investigación: las rutas cuantitativa, cualitativa y mixta</w:t>
      </w:r>
      <w:r>
        <w:t xml:space="preserve">. McGraw-Hill </w:t>
      </w:r>
      <w:proofErr w:type="spellStart"/>
      <w:r>
        <w:t>Education</w:t>
      </w:r>
      <w:proofErr w:type="spellEnd"/>
      <w:r>
        <w:t>.</w:t>
      </w:r>
    </w:p>
    <w:p w14:paraId="155973A4" w14:textId="77777777" w:rsidR="00BC0CF6" w:rsidRDefault="00000000">
      <w:pPr>
        <w:ind w:left="720" w:hanging="720"/>
      </w:pPr>
      <w:r>
        <w:t xml:space="preserve">Instituto Colombiano de Bienestar Familiar. (2018). </w:t>
      </w:r>
      <w:r>
        <w:rPr>
          <w:i/>
          <w:iCs/>
        </w:rPr>
        <w:t>Línea de Política Pública para la Prevención y Erradicación de la Explotación Sexual Comercial de Niñas, Niños y Adolescentes 2018 a 2028</w:t>
      </w:r>
      <w:r>
        <w:t>. ICBF.</w:t>
      </w:r>
    </w:p>
    <w:p w14:paraId="23B61ED7" w14:textId="77777777" w:rsidR="00BC0CF6" w:rsidRDefault="00000000">
      <w:pPr>
        <w:ind w:left="720" w:hanging="720"/>
      </w:pPr>
      <w:r>
        <w:t xml:space="preserve">Instituto Nacional de Medicina Legal y Ciencias Forenses. (2023). </w:t>
      </w:r>
      <w:proofErr w:type="spellStart"/>
      <w:r>
        <w:rPr>
          <w:i/>
          <w:iCs/>
        </w:rPr>
        <w:t>Forensis</w:t>
      </w:r>
      <w:proofErr w:type="spellEnd"/>
      <w:r>
        <w:rPr>
          <w:i/>
          <w:iCs/>
        </w:rPr>
        <w:t xml:space="preserve"> 2023: datos para la vida</w:t>
      </w:r>
      <w:r>
        <w:t>. Instituto Nacional de Medicina Legal y Ciencias Forenses.</w:t>
      </w:r>
    </w:p>
    <w:p w14:paraId="1CC9E3CB" w14:textId="77777777" w:rsidR="00BC0CF6" w:rsidRDefault="00000000">
      <w:pPr>
        <w:ind w:left="720" w:hanging="720"/>
      </w:pPr>
      <w:proofErr w:type="spellStart"/>
      <w:r>
        <w:t>Kempadoo</w:t>
      </w:r>
      <w:proofErr w:type="spellEnd"/>
      <w:r>
        <w:t xml:space="preserve">, K. (Ed.). </w:t>
      </w:r>
      <w:r w:rsidRPr="00665F4C">
        <w:rPr>
          <w:lang w:val="en-US"/>
        </w:rPr>
        <w:t xml:space="preserve">(2005). </w:t>
      </w:r>
      <w:r w:rsidRPr="00665F4C">
        <w:rPr>
          <w:i/>
          <w:iCs/>
          <w:lang w:val="en-US"/>
        </w:rPr>
        <w:t xml:space="preserve">Trafficking and prostitution reconsidered: </w:t>
      </w:r>
      <w:proofErr w:type="gramStart"/>
      <w:r w:rsidRPr="00665F4C">
        <w:rPr>
          <w:i/>
          <w:iCs/>
          <w:lang w:val="en-US"/>
        </w:rPr>
        <w:t>New</w:t>
      </w:r>
      <w:proofErr w:type="gramEnd"/>
      <w:r w:rsidRPr="00665F4C">
        <w:rPr>
          <w:i/>
          <w:iCs/>
          <w:lang w:val="en-US"/>
        </w:rPr>
        <w:t xml:space="preserve"> perspectives on migration, sex work, and human rights</w:t>
      </w:r>
      <w:r w:rsidRPr="00665F4C">
        <w:rPr>
          <w:lang w:val="en-US"/>
        </w:rPr>
        <w:t xml:space="preserve">. </w:t>
      </w:r>
      <w:proofErr w:type="spellStart"/>
      <w:r>
        <w:t>Paradigm</w:t>
      </w:r>
      <w:proofErr w:type="spellEnd"/>
      <w:r>
        <w:t xml:space="preserve"> </w:t>
      </w:r>
      <w:proofErr w:type="spellStart"/>
      <w:r>
        <w:t>Publishers</w:t>
      </w:r>
      <w:proofErr w:type="spellEnd"/>
      <w:r>
        <w:t>.</w:t>
      </w:r>
    </w:p>
    <w:p w14:paraId="08349361" w14:textId="77777777" w:rsidR="00BC0CF6" w:rsidRPr="00665F4C" w:rsidRDefault="00000000">
      <w:pPr>
        <w:ind w:left="720" w:hanging="720"/>
        <w:rPr>
          <w:lang w:val="en-US"/>
        </w:rPr>
      </w:pPr>
      <w:r>
        <w:t xml:space="preserve">Ministerio de Comercio, Industria y Turismo. (2009). </w:t>
      </w:r>
      <w:r>
        <w:rPr>
          <w:i/>
          <w:iCs/>
        </w:rPr>
        <w:t>Resolución 3840 de 2009, por la cual se implementa el Código de Conducta para la protección de niños, niñas y adolescentes en viajes y turismo</w:t>
      </w:r>
      <w:r>
        <w:t xml:space="preserve">. </w:t>
      </w:r>
      <w:proofErr w:type="spellStart"/>
      <w:r w:rsidRPr="00665F4C">
        <w:rPr>
          <w:lang w:val="en-US"/>
        </w:rPr>
        <w:t>Diario</w:t>
      </w:r>
      <w:proofErr w:type="spellEnd"/>
      <w:r w:rsidRPr="00665F4C">
        <w:rPr>
          <w:lang w:val="en-US"/>
        </w:rPr>
        <w:t xml:space="preserve"> </w:t>
      </w:r>
      <w:proofErr w:type="spellStart"/>
      <w:r w:rsidRPr="00665F4C">
        <w:rPr>
          <w:lang w:val="en-US"/>
        </w:rPr>
        <w:t>Oficial</w:t>
      </w:r>
      <w:proofErr w:type="spellEnd"/>
      <w:r w:rsidRPr="00665F4C">
        <w:rPr>
          <w:lang w:val="en-US"/>
        </w:rPr>
        <w:t xml:space="preserve"> No. 47.559.</w:t>
      </w:r>
    </w:p>
    <w:p w14:paraId="64069F4B" w14:textId="77777777" w:rsidR="00BC0CF6" w:rsidRDefault="00000000">
      <w:pPr>
        <w:ind w:left="720" w:hanging="720"/>
      </w:pPr>
      <w:r w:rsidRPr="00665F4C">
        <w:rPr>
          <w:lang w:val="en-US"/>
        </w:rPr>
        <w:t xml:space="preserve">Montgomery, H. (2008). Buying innocence: Child-sex tourists in Thailand. </w:t>
      </w:r>
      <w:r>
        <w:rPr>
          <w:i/>
          <w:iCs/>
        </w:rPr>
        <w:t xml:space="preserve">Third World </w:t>
      </w:r>
      <w:proofErr w:type="spellStart"/>
      <w:r>
        <w:rPr>
          <w:i/>
          <w:iCs/>
        </w:rPr>
        <w:t>Quarterly</w:t>
      </w:r>
      <w:proofErr w:type="spellEnd"/>
      <w:r>
        <w:rPr>
          <w:i/>
          <w:iCs/>
        </w:rPr>
        <w:t>, 29</w:t>
      </w:r>
      <w:r>
        <w:t>(5), 903-917.</w:t>
      </w:r>
    </w:p>
    <w:p w14:paraId="6D19DCC8" w14:textId="77777777" w:rsidR="00BC0CF6" w:rsidRPr="00665F4C" w:rsidRDefault="00000000">
      <w:pPr>
        <w:ind w:left="720" w:hanging="720"/>
        <w:rPr>
          <w:lang w:val="en-US"/>
        </w:rPr>
      </w:pPr>
      <w:r>
        <w:t xml:space="preserve">Naciones Unidas Colombia. (2003). </w:t>
      </w:r>
      <w:r>
        <w:rPr>
          <w:i/>
          <w:iCs/>
        </w:rPr>
        <w:t>Protocolo facultativo de la Convención sobre los Derechos del Niño relativo a la venta de niños, la prostitución infantil y la utilización de niños en la pornografía</w:t>
      </w:r>
      <w:r>
        <w:t xml:space="preserve">. </w:t>
      </w:r>
      <w:proofErr w:type="spellStart"/>
      <w:r w:rsidRPr="00665F4C">
        <w:rPr>
          <w:lang w:val="en-US"/>
        </w:rPr>
        <w:t>Naciones</w:t>
      </w:r>
      <w:proofErr w:type="spellEnd"/>
      <w:r w:rsidRPr="00665F4C">
        <w:rPr>
          <w:lang w:val="en-US"/>
        </w:rPr>
        <w:t xml:space="preserve"> Unidas.</w:t>
      </w:r>
    </w:p>
    <w:p w14:paraId="1437CB03" w14:textId="77777777" w:rsidR="00BC0CF6" w:rsidRDefault="00000000">
      <w:pPr>
        <w:ind w:left="720" w:hanging="720"/>
      </w:pPr>
      <w:r w:rsidRPr="00665F4C">
        <w:rPr>
          <w:lang w:val="en-US"/>
        </w:rPr>
        <w:t xml:space="preserve">O'Connell Davidson, J. (2005). </w:t>
      </w:r>
      <w:r w:rsidRPr="00665F4C">
        <w:rPr>
          <w:i/>
          <w:iCs/>
          <w:lang w:val="en-US"/>
        </w:rPr>
        <w:t>Children in the global sex trade</w:t>
      </w:r>
      <w:r w:rsidRPr="00665F4C">
        <w:rPr>
          <w:lang w:val="en-US"/>
        </w:rPr>
        <w:t xml:space="preserve">. </w:t>
      </w:r>
      <w:proofErr w:type="spellStart"/>
      <w:r>
        <w:t>Polity</w:t>
      </w:r>
      <w:proofErr w:type="spellEnd"/>
      <w:r>
        <w:t xml:space="preserve"> Press.</w:t>
      </w:r>
    </w:p>
    <w:p w14:paraId="3B73EA5D" w14:textId="77777777" w:rsidR="00BC0CF6" w:rsidRDefault="00000000">
      <w:pPr>
        <w:ind w:left="720" w:hanging="720"/>
      </w:pPr>
      <w:r>
        <w:t xml:space="preserve">Organización de las Naciones Unidas. (1989). </w:t>
      </w:r>
      <w:r>
        <w:rPr>
          <w:i/>
          <w:iCs/>
        </w:rPr>
        <w:t>Convención sobre los Derechos del Niño</w:t>
      </w:r>
      <w:r>
        <w:t>. Asamblea General, Resolución 44/25.</w:t>
      </w:r>
    </w:p>
    <w:p w14:paraId="68F2B512" w14:textId="77777777" w:rsidR="00BC0CF6" w:rsidRDefault="00000000">
      <w:pPr>
        <w:ind w:left="720" w:hanging="720"/>
      </w:pPr>
      <w:r>
        <w:lastRenderedPageBreak/>
        <w:t xml:space="preserve">Organización Internacional del Trabajo. (2002). </w:t>
      </w:r>
      <w:r>
        <w:rPr>
          <w:i/>
          <w:iCs/>
        </w:rPr>
        <w:t>Un futuro sin trabajo infantil</w:t>
      </w:r>
      <w:r>
        <w:t>. OIT.</w:t>
      </w:r>
    </w:p>
    <w:p w14:paraId="421951B9" w14:textId="77777777" w:rsidR="00BC0CF6" w:rsidRDefault="00000000">
      <w:pPr>
        <w:ind w:left="720" w:hanging="720"/>
      </w:pPr>
      <w:r>
        <w:t xml:space="preserve">Organización Mundial del Turismo. (1999). </w:t>
      </w:r>
      <w:r>
        <w:rPr>
          <w:i/>
          <w:iCs/>
        </w:rPr>
        <w:t>Código Ético Mundial para el Turismo</w:t>
      </w:r>
      <w:r>
        <w:t>. OMT.</w:t>
      </w:r>
    </w:p>
    <w:p w14:paraId="60610C68" w14:textId="77777777" w:rsidR="00BC0CF6" w:rsidRDefault="00000000">
      <w:pPr>
        <w:ind w:left="720" w:hanging="720"/>
      </w:pPr>
      <w:r>
        <w:t xml:space="preserve">Pagani, A. F., González, L. y Oviedo, H. (2021). La revisión sistemática como metodología de investigación en ciencias sociales y jurídicas. </w:t>
      </w:r>
      <w:r>
        <w:rPr>
          <w:i/>
          <w:iCs/>
        </w:rPr>
        <w:t>Revista Latinoamericana de Metodología de la Investigación Social, 11</w:t>
      </w:r>
      <w:r>
        <w:t>(21), 22-38.</w:t>
      </w:r>
    </w:p>
    <w:p w14:paraId="0625E8B2" w14:textId="77777777" w:rsidR="00BC0CF6" w:rsidRDefault="00000000">
      <w:pPr>
        <w:ind w:left="720" w:hanging="720"/>
      </w:pPr>
      <w:r>
        <w:t xml:space="preserve">Pinheiro, P. S. (2006). </w:t>
      </w:r>
      <w:r>
        <w:rPr>
          <w:i/>
          <w:iCs/>
        </w:rPr>
        <w:t>Informe mundial sobre la violencia contra los niños y las niñas</w:t>
      </w:r>
      <w:r>
        <w:t>. Naciones Unidas.</w:t>
      </w:r>
    </w:p>
    <w:p w14:paraId="775CB241" w14:textId="77777777" w:rsidR="00BC0CF6" w:rsidRDefault="00000000">
      <w:pPr>
        <w:ind w:left="720" w:hanging="720"/>
      </w:pPr>
      <w:r>
        <w:t xml:space="preserve">Policía Nacional de Colombia. (2023). </w:t>
      </w:r>
      <w:r>
        <w:rPr>
          <w:i/>
          <w:iCs/>
        </w:rPr>
        <w:t>Informe estadístico de delitos sexuales en Colombia 2023</w:t>
      </w:r>
      <w:r>
        <w:t>. Policía Nacional de Colombia.</w:t>
      </w:r>
    </w:p>
    <w:p w14:paraId="3A2F4D4B" w14:textId="77777777" w:rsidR="00BC0CF6" w:rsidRDefault="00000000">
      <w:pPr>
        <w:ind w:left="720" w:hanging="720"/>
      </w:pPr>
      <w:r>
        <w:t xml:space="preserve">Presidencia de la República de Colombia. (2007). </w:t>
      </w:r>
      <w:r>
        <w:rPr>
          <w:i/>
          <w:iCs/>
        </w:rPr>
        <w:t>Decreto 4840 de 2007, por el cual se reglamentan los artículos 52, 77, 79, 82, 83, 84, 86, 87, 96, 98, 99, 100, 105, 111 y 205 de la Ley 1098 de 2006</w:t>
      </w:r>
      <w:r>
        <w:t>.</w:t>
      </w:r>
    </w:p>
    <w:p w14:paraId="3A2F4D4B" w14:textId="77777777" w:rsidR="00BC0CF6" w:rsidRDefault="00000000">
      <w:pPr>
        <w:ind w:left="720" w:hanging="720"/>
      </w:pPr>
      <w:r>
        <w:rPr>
          <w:highlight w:val="yellow"/>
        </w:rPr>
        <w:t xml:space="preserve">Presidencia de la República de Colombia. (2021). </w:t>
      </w:r>
      <w:r>
        <w:rPr>
          <w:i/>
          <w:iCs/>
          <w:highlight w:val="yellow"/>
        </w:rPr>
        <w:t xml:space="preserve">Decreto 1836 de 2021, por el cual se modifica y adiciona el Decreto 1074 de 2015, Único Reglamentario del Sector Comercio, Industria y Turismo, en lo relacionado con el Registro Nacional de Turismo</w:t>
      </w:r>
      <w:r>
        <w:rPr>
          <w:highlight w:val="yellow"/>
        </w:rPr>
        <w:t xml:space="preserve">. https://www.funcionpublica.gov.co/eva/gestornormativo/norma.php?i=175266</w:t>
      </w:r>
    </w:p>
    <w:p w14:paraId="43B4FC74" w14:textId="77777777" w:rsidR="00BC0CF6" w:rsidRDefault="00000000">
      <w:pPr>
        <w:ind w:left="720" w:hanging="720"/>
      </w:pPr>
      <w:r>
        <w:t xml:space="preserve">Procuraduría General de la Nación. (2020). </w:t>
      </w:r>
      <w:r>
        <w:rPr>
          <w:i/>
          <w:iCs/>
        </w:rPr>
        <w:t>La prevención de la explotación sexual comercial de niñas, niños y adolescentes en Colombia: lineamientos para entidades territoriales</w:t>
      </w:r>
      <w:r>
        <w:t>. PGN.</w:t>
      </w:r>
    </w:p>
    <w:p w14:paraId="1145CF8D" w14:textId="77777777" w:rsidR="00BC0CF6" w:rsidRDefault="00000000">
      <w:pPr>
        <w:ind w:left="720" w:hanging="720"/>
      </w:pPr>
      <w:r>
        <w:t xml:space="preserve">Roth Deubel, A. N. (2002). </w:t>
      </w:r>
      <w:r>
        <w:rPr>
          <w:i/>
          <w:iCs/>
        </w:rPr>
        <w:t>Políticas públicas: formulación, implementación y evaluación</w:t>
      </w:r>
      <w:r>
        <w:t>. Ediciones Aurora.</w:t>
      </w:r>
    </w:p>
    <w:p w14:paraId="3E380CCB" w14:textId="77777777" w:rsidR="00BC0CF6" w:rsidRDefault="00000000">
      <w:pPr>
        <w:ind w:left="720" w:hanging="720"/>
      </w:pPr>
      <w:r>
        <w:t xml:space="preserve">Save </w:t>
      </w:r>
      <w:proofErr w:type="spellStart"/>
      <w:r>
        <w:t>the</w:t>
      </w:r>
      <w:proofErr w:type="spellEnd"/>
      <w:r>
        <w:t xml:space="preserve"> </w:t>
      </w:r>
      <w:proofErr w:type="spellStart"/>
      <w:r>
        <w:t>Children</w:t>
      </w:r>
      <w:proofErr w:type="spellEnd"/>
      <w:r>
        <w:t xml:space="preserve">. (2017). </w:t>
      </w:r>
      <w:r>
        <w:rPr>
          <w:i/>
          <w:iCs/>
        </w:rPr>
        <w:t>Ojos que no quieren ver: los abusos sexuales a niños y los fallos del sistema</w:t>
      </w:r>
      <w:r>
        <w:t xml:space="preserve">. Save </w:t>
      </w:r>
      <w:proofErr w:type="spellStart"/>
      <w:r>
        <w:t>the</w:t>
      </w:r>
      <w:proofErr w:type="spellEnd"/>
      <w:r>
        <w:t xml:space="preserve"> </w:t>
      </w:r>
      <w:proofErr w:type="spellStart"/>
      <w:r>
        <w:t>Children</w:t>
      </w:r>
      <w:proofErr w:type="spellEnd"/>
      <w:r>
        <w:t xml:space="preserve"> España.</w:t>
      </w:r>
    </w:p>
    <w:p w14:paraId="074FA6E9" w14:textId="77777777" w:rsidR="00BC0CF6" w:rsidRDefault="00000000">
      <w:pPr>
        <w:ind w:left="720" w:hanging="720"/>
      </w:pPr>
      <w:r>
        <w:t xml:space="preserve">Tejeiro Duque, C. (2017). </w:t>
      </w:r>
      <w:r>
        <w:rPr>
          <w:i/>
          <w:iCs/>
        </w:rPr>
        <w:t>Teoría general de niñez y adolescencia</w:t>
      </w:r>
      <w:r>
        <w:t xml:space="preserve"> (2.ª ed.). UNICEF y Universidad de los Andes.</w:t>
      </w:r>
    </w:p>
    <w:p w14:paraId="15C2DFFC" w14:textId="77777777" w:rsidR="00BC0CF6" w:rsidRDefault="00000000">
      <w:pPr>
        <w:ind w:left="720" w:hanging="720"/>
      </w:pPr>
      <w:r>
        <w:t xml:space="preserve">UNICEF. (2021). </w:t>
      </w:r>
      <w:r>
        <w:rPr>
          <w:i/>
          <w:iCs/>
        </w:rPr>
        <w:t>Explotación y abuso sexual de niños, niñas y adolescentes: situación en América Latina y el Caribe</w:t>
      </w:r>
      <w:r>
        <w:t>. Fondo de las Naciones Unidas para la Infancia.</w:t>
      </w:r>
    </w:p>
    <w:p w14:paraId="701787E2" w14:textId="77777777" w:rsidR="00BC0CF6" w:rsidRDefault="00000000">
      <w:pPr>
        <w:ind w:left="720" w:hanging="720"/>
      </w:pPr>
      <w:r>
        <w:lastRenderedPageBreak/>
        <w:t xml:space="preserve">UNODC. (2022). </w:t>
      </w:r>
      <w:r>
        <w:rPr>
          <w:i/>
          <w:iCs/>
        </w:rPr>
        <w:t>Informe mundial sobre la trata de personas 2022</w:t>
      </w:r>
      <w:r>
        <w:t>. Oficina de las Naciones Unidas contra la Droga y el Delito.</w:t>
      </w:r>
    </w:p>
    <w:sectPr w:rsidR="00BC0CF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DB212" w14:textId="77777777" w:rsidR="0086700E" w:rsidRDefault="0086700E">
      <w:pPr>
        <w:spacing w:line="240" w:lineRule="auto"/>
      </w:pPr>
      <w:r>
        <w:separator/>
      </w:r>
    </w:p>
  </w:endnote>
  <w:endnote w:type="continuationSeparator" w:id="0">
    <w:p w14:paraId="07FCAF3B" w14:textId="77777777" w:rsidR="0086700E" w:rsidRDefault="008670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7A22" w14:textId="6583E2CD" w:rsidR="00665F4C" w:rsidRDefault="00665F4C">
    <w:pPr>
      <w:pStyle w:val="Piedepgina"/>
    </w:pPr>
    <w:r>
      <w:rPr>
        <w:noProof/>
      </w:rPr>
      <w:drawing>
        <wp:anchor distT="0" distB="0" distL="114300" distR="114300" simplePos="0" relativeHeight="251661312" behindDoc="1" locked="0" layoutInCell="1" allowOverlap="1" wp14:anchorId="0FA0CF3B" wp14:editId="5C3AF504">
          <wp:simplePos x="0" y="0"/>
          <wp:positionH relativeFrom="column">
            <wp:posOffset>-946150</wp:posOffset>
          </wp:positionH>
          <wp:positionV relativeFrom="paragraph">
            <wp:posOffset>-2638425</wp:posOffset>
          </wp:positionV>
          <wp:extent cx="7771130" cy="3304540"/>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1130" cy="330454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30E6B" w14:textId="77777777" w:rsidR="0086700E" w:rsidRDefault="0086700E">
      <w:pPr>
        <w:spacing w:line="240" w:lineRule="auto"/>
      </w:pPr>
      <w:r>
        <w:separator/>
      </w:r>
    </w:p>
  </w:footnote>
  <w:footnote w:type="continuationSeparator" w:id="0">
    <w:p w14:paraId="12533D3E" w14:textId="77777777" w:rsidR="0086700E" w:rsidRDefault="0086700E">
      <w:pPr>
        <w:spacing w:line="240" w:lineRule="auto"/>
      </w:pPr>
      <w:r>
        <w:continuationSeparator/>
      </w:r>
    </w:p>
  </w:footnote>
  <w:footnote w:id="1">
    <w:p w14:paraId="19828727" w14:textId="77777777" w:rsidR="00BC0CF6" w:rsidRDefault="00000000">
      <w:r>
        <w:rPr>
          <w:rStyle w:val="Refdenotaalpie"/>
        </w:rPr>
        <w:footnoteRef/>
      </w:r>
      <w:r>
        <w:rPr>
          <w:sz w:val="20"/>
          <w:szCs w:val="20"/>
        </w:rPr>
        <w:t>Artículo para optar al título de abogado(a). [Incluir aquí nombres de asesores temáticos y metodológicos, modalidad del trabajo (semillero, grupo de investigación, práctica de consultorio jurídico, programa de especialización o proyecto de investigación institucional), según corresponda].</w:t>
      </w:r>
    </w:p>
  </w:footnote>
  <w:footnote w:id="2">
    <w:p w14:paraId="3F879E36" w14:textId="77777777" w:rsidR="00BC0CF6" w:rsidRDefault="00000000">
      <w:r>
        <w:rPr>
          <w:rStyle w:val="Refdenotaalpie"/>
        </w:rPr>
        <w:footnoteRef/>
      </w:r>
      <w:r>
        <w:rPr>
          <w:sz w:val="20"/>
          <w:szCs w:val="20"/>
        </w:rPr>
        <w:t>[Formación académica], [correo electrónico institucional].</w:t>
      </w:r>
    </w:p>
  </w:footnote>
  <w:footnote w:id="3">
    <w:p w14:paraId="50CD5C8D" w14:textId="77777777" w:rsidR="00BC0CF6" w:rsidRDefault="00000000">
      <w:r>
        <w:rPr>
          <w:rStyle w:val="Refdenotaalpie"/>
        </w:rPr>
        <w:footnoteRef/>
      </w:r>
      <w:r>
        <w:rPr>
          <w:sz w:val="20"/>
          <w:szCs w:val="20"/>
        </w:rPr>
        <w:t>[Formación académica], [correo electrónico institucional].</w:t>
      </w:r>
    </w:p>
  </w:footnote>
  <w:footnote w:id="4">
    <w:p w14:paraId="71646C61" w14:textId="77777777" w:rsidR="00BC0CF6" w:rsidRDefault="00000000">
      <w:r>
        <w:rPr>
          <w:rStyle w:val="Refdenotaalpie"/>
        </w:rPr>
        <w:footnoteRef/>
      </w:r>
      <w:r>
        <w:rPr>
          <w:sz w:val="20"/>
          <w:szCs w:val="20"/>
        </w:rPr>
        <w:t>[Formación académica], [correo electrónico institucional].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413B" w14:textId="4BEE48F2" w:rsidR="00BC0CF6" w:rsidRDefault="00665F4C">
    <w:pPr>
      <w:jc w:val="right"/>
    </w:pPr>
    <w:r>
      <w:rPr>
        <w:noProof/>
      </w:rPr>
      <w:drawing>
        <wp:anchor distT="0" distB="0" distL="114300" distR="114300" simplePos="0" relativeHeight="251659264" behindDoc="0" locked="0" layoutInCell="1" allowOverlap="1" wp14:anchorId="0F714635" wp14:editId="3D4FC0D9">
          <wp:simplePos x="0" y="0"/>
          <wp:positionH relativeFrom="column">
            <wp:posOffset>-895350</wp:posOffset>
          </wp:positionH>
          <wp:positionV relativeFrom="paragraph">
            <wp:posOffset>-419735</wp:posOffset>
          </wp:positionV>
          <wp:extent cx="7720823" cy="1089660"/>
          <wp:effectExtent l="0" t="0" r="0" b="0"/>
          <wp:wrapNone/>
          <wp:docPr id="1" name="Imagen 1" descr="carta corporativa MEDELLI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carta corporativa MEDELLIN-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0823" cy="108966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1</w:t>
    </w:r>
    <w:r w:rsidR="00000000">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22708"/>
    <w:multiLevelType w:val="hybridMultilevel"/>
    <w:tmpl w:val="115C368A"/>
    <w:lvl w:ilvl="0" w:tplc="BC409C48">
      <w:start w:val="1"/>
      <w:numFmt w:val="bullet"/>
      <w:lvlText w:val="●"/>
      <w:lvlJc w:val="left"/>
      <w:pPr>
        <w:ind w:left="720" w:hanging="360"/>
      </w:pPr>
    </w:lvl>
    <w:lvl w:ilvl="1" w:tplc="E0221732">
      <w:start w:val="1"/>
      <w:numFmt w:val="bullet"/>
      <w:lvlText w:val="○"/>
      <w:lvlJc w:val="left"/>
      <w:pPr>
        <w:ind w:left="1440" w:hanging="360"/>
      </w:pPr>
    </w:lvl>
    <w:lvl w:ilvl="2" w:tplc="40F43C8E">
      <w:start w:val="1"/>
      <w:numFmt w:val="bullet"/>
      <w:lvlText w:val="■"/>
      <w:lvlJc w:val="left"/>
      <w:pPr>
        <w:ind w:left="2160" w:hanging="360"/>
      </w:pPr>
    </w:lvl>
    <w:lvl w:ilvl="3" w:tplc="7592EC22">
      <w:start w:val="1"/>
      <w:numFmt w:val="bullet"/>
      <w:lvlText w:val="●"/>
      <w:lvlJc w:val="left"/>
      <w:pPr>
        <w:ind w:left="2880" w:hanging="360"/>
      </w:pPr>
    </w:lvl>
    <w:lvl w:ilvl="4" w:tplc="5B9831AC">
      <w:start w:val="1"/>
      <w:numFmt w:val="bullet"/>
      <w:lvlText w:val="○"/>
      <w:lvlJc w:val="left"/>
      <w:pPr>
        <w:ind w:left="3600" w:hanging="360"/>
      </w:pPr>
    </w:lvl>
    <w:lvl w:ilvl="5" w:tplc="F680186E">
      <w:start w:val="1"/>
      <w:numFmt w:val="bullet"/>
      <w:lvlText w:val="■"/>
      <w:lvlJc w:val="left"/>
      <w:pPr>
        <w:ind w:left="4320" w:hanging="360"/>
      </w:pPr>
    </w:lvl>
    <w:lvl w:ilvl="6" w:tplc="BB60E7D2">
      <w:start w:val="1"/>
      <w:numFmt w:val="bullet"/>
      <w:lvlText w:val="●"/>
      <w:lvlJc w:val="left"/>
      <w:pPr>
        <w:ind w:left="5040" w:hanging="360"/>
      </w:pPr>
    </w:lvl>
    <w:lvl w:ilvl="7" w:tplc="E9BED436">
      <w:start w:val="1"/>
      <w:numFmt w:val="bullet"/>
      <w:lvlText w:val="●"/>
      <w:lvlJc w:val="left"/>
      <w:pPr>
        <w:ind w:left="5760" w:hanging="360"/>
      </w:pPr>
    </w:lvl>
    <w:lvl w:ilvl="8" w:tplc="BACE1E4C">
      <w:start w:val="1"/>
      <w:numFmt w:val="bullet"/>
      <w:lvlText w:val="●"/>
      <w:lvlJc w:val="left"/>
      <w:pPr>
        <w:ind w:left="6480" w:hanging="360"/>
      </w:pPr>
    </w:lvl>
  </w:abstractNum>
  <w:num w:numId="1" w16cid:durableId="1754471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CF6"/>
    <w:rsid w:val="00665F4C"/>
    <w:rsid w:val="0086700E"/>
    <w:rsid w:val="00BC0CF6"/>
    <w:rsid w:val="00E71D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4DD2F"/>
  <w15:docId w15:val="{064D2F4C-8547-4DEB-BA44-C40954D7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65F4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65F4C"/>
  </w:style>
  <w:style w:type="paragraph" w:styleId="Piedepgina">
    <w:name w:val="footer"/>
    <w:basedOn w:val="Normal"/>
    <w:link w:val="PiedepginaCar"/>
    <w:uiPriority w:val="99"/>
    <w:unhideWhenUsed/>
    <w:rsid w:val="00665F4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65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7710</Words>
  <Characters>42410</Characters>
  <Application>Microsoft Office Word</Application>
  <DocSecurity>0</DocSecurity>
  <Lines>353</Lines>
  <Paragraphs>100</Paragraphs>
  <ScaleCrop>false</ScaleCrop>
  <Company/>
  <LinksUpToDate>false</LinksUpToDate>
  <CharactersWithSpaces>50020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ARTICULO_AJUSTADO_v4</dc:title>
  <dc:creator>Claude</dc:creator>
  <cp:lastModifiedBy>Oscal Consultores juridicos sas</cp:lastModifiedBy>
  <cp:revision>2</cp:revision>
  <dcterms:created xsi:type="dcterms:W3CDTF">2026-04-24T22:15:00Z</dcterms:created>
  <dcterms:modified xsi:type="dcterms:W3CDTF">2026-04-24T22:18:00Z</dcterms:modified>
</cp:coreProperties>
</file>