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eastAsia="Microsoft YaHei" w:hAnsi="Microsoft YaHei"/>
          <w:b/>
          <w:bCs/>
          <w:sz w:val="42"/>
          <w:szCs w:val="42"/>
        </w:rPr>
        <w:t xml:space="preserve">数据与网络安全事件调查分析报告</w:t>
      </w:r>
    </w:p>
    <w:p>
      <w:pPr>
        <w:spacing w:after="40"/>
        <w:jc w:val="center"/>
      </w:pPr>
      <w:r>
        <w:rPr>
          <w:rFonts w:ascii="Microsoft YaHei" w:eastAsia="Microsoft YaHei" w:hAnsi="Microsoft YaHei"/>
          <w:color w:val="595959"/>
          <w:sz w:val="21"/>
          <w:szCs w:val="21"/>
        </w:rPr>
        <w:t xml:space="preserve">INC-20260808-001</w:t>
      </w:r>
    </w:p>
    <w:p>
      <w:pPr>
        <w:spacing w:after="260"/>
        <w:jc w:val="center"/>
      </w:pPr>
      <w:r>
        <w:rPr>
          <w:rFonts w:ascii="SimSun" w:eastAsia="SimSun" w:hAnsi="SimSun"/>
          <w:color w:val="808080"/>
          <w:sz w:val="18"/>
          <w:szCs w:val="18"/>
        </w:rPr>
        <w:t xml:space="preserve">演示说明：本报告中的账号、IP、人员、系统及事件数据均为虚构，仅用于功能演示。</w:t>
      </w:r>
    </w:p>
    <w:p>
      <w:pPr>
        <w:keepNext/>
        <w:spacing w:after="150" w:before="30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一、基本信息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96"/>
        <w:gridCol w:w="7076"/>
      </w:tblGrid>
      <w:tr>
        <w:trPr>
          <w:cantSplit/>
          <w:tblHeader/>
        </w:trPr>
        <w:tc>
          <w:tcPr>
            <w:tcW w:type="dxa" w:w="1996"/>
            <w:shd w:fill="F2F2F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项目</w:t>
            </w:r>
          </w:p>
        </w:tc>
        <w:tc>
          <w:tcPr>
            <w:tcW w:type="dxa" w:w="7076"/>
            <w:shd w:fill="F2F2F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199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案件编号</w:t>
            </w:r>
          </w:p>
        </w:tc>
        <w:tc>
          <w:tcPr>
            <w:tcW w:type="dxa" w:w="707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INC-20260808-001</w:t>
            </w:r>
          </w:p>
        </w:tc>
      </w:tr>
      <w:tr>
        <w:trPr>
          <w:cantSplit/>
        </w:trPr>
        <w:tc>
          <w:tcPr>
            <w:tcW w:type="dxa" w:w="199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事件名称</w:t>
            </w:r>
          </w:p>
        </w:tc>
        <w:tc>
          <w:tcPr>
            <w:tcW w:type="dxa" w:w="707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Case A：夜间大批量敏感数据查询（授权迁移）</w:t>
            </w:r>
          </w:p>
        </w:tc>
      </w:tr>
      <w:tr>
        <w:trPr>
          <w:cantSplit/>
        </w:trPr>
        <w:tc>
          <w:tcPr>
            <w:tcW w:type="dxa" w:w="199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发现时间</w:t>
            </w:r>
          </w:p>
        </w:tc>
        <w:tc>
          <w:tcPr>
            <w:tcW w:type="dxa" w:w="707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2026-08-08 01:30:00</w:t>
            </w:r>
          </w:p>
        </w:tc>
      </w:tr>
      <w:tr>
        <w:trPr>
          <w:cantSplit/>
        </w:trPr>
        <w:tc>
          <w:tcPr>
            <w:tcW w:type="dxa" w:w="199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告警来源</w:t>
            </w:r>
          </w:p>
        </w:tc>
        <w:tc>
          <w:tcPr>
            <w:tcW w:type="dxa" w:w="707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数据库审计系统（演示）</w:t>
            </w:r>
          </w:p>
        </w:tc>
      </w:tr>
      <w:tr>
        <w:trPr>
          <w:cantSplit/>
        </w:trPr>
        <w:tc>
          <w:tcPr>
            <w:tcW w:type="dxa" w:w="199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告警级别</w:t>
            </w:r>
          </w:p>
        </w:tc>
        <w:tc>
          <w:tcPr>
            <w:tcW w:type="dxa" w:w="707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高风险</w:t>
            </w:r>
          </w:p>
        </w:tc>
      </w:tr>
      <w:tr>
        <w:trPr>
          <w:cantSplit/>
        </w:trPr>
        <w:tc>
          <w:tcPr>
            <w:tcW w:type="dxa" w:w="199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人工风险等级</w:t>
            </w:r>
          </w:p>
        </w:tc>
        <w:tc>
          <w:tcPr>
            <w:tcW w:type="dxa" w:w="707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低风险</w:t>
            </w:r>
          </w:p>
        </w:tc>
      </w:tr>
      <w:tr>
        <w:trPr>
          <w:cantSplit/>
        </w:trPr>
        <w:tc>
          <w:tcPr>
            <w:tcW w:type="dxa" w:w="199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研判人员</w:t>
            </w:r>
          </w:p>
        </w:tc>
        <w:tc>
          <w:tcPr>
            <w:tcW w:type="dxa" w:w="707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王研判</w:t>
            </w:r>
          </w:p>
        </w:tc>
      </w:tr>
      <w:tr>
        <w:trPr>
          <w:cantSplit/>
        </w:trPr>
        <w:tc>
          <w:tcPr>
            <w:tcW w:type="dxa" w:w="199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报告生成时间</w:t>
            </w:r>
          </w:p>
        </w:tc>
        <w:tc>
          <w:tcPr>
            <w:tcW w:type="dxa" w:w="707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2026-08-08 23:15:36</w:t>
            </w:r>
          </w:p>
        </w:tc>
      </w:tr>
    </w:tbl>
    <w:p>
      <w:pPr>
        <w:spacing w:after="60"/>
      </w:pPr>
      <w:r>
        <w:rPr>
          <w:sz w:val="20"/>
          <w:szCs w:val="20"/>
        </w:rPr>
        <w:t xml:space="preserve"/>
      </w:r>
    </w:p>
    <w:p>
      <w:pPr>
        <w:keepNext/>
        <w:spacing w:after="150" w:before="30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二、事件概述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夜间大批量敏感数据查询告警。告警时间：2026-08-08 01:30:00；告警来源：数据库审计系统（演示）。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系统初步分析（仅供辅助研判）：当前证据显示，数据安全维度存在技术异常，但业务上下文已确认该行为获得授权（工单与负责人确认），系统建议按授权业务行为处理并保留核查记录。最终结论以人工研判为准。</w:t>
      </w:r>
    </w:p>
    <w:p>
      <w:pPr>
        <w:keepNext/>
        <w:spacing w:after="150" w:before="30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三、原始告警信息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告警编号：DEMO-DB-20260808-0130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告警标题：夜间大批量敏感数据查询告警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告警级别：高风险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告警描述：CRM_PROD.customer_info 在凌晨被批量查询约 182,391 条记录，涉及姓名、手机号、身份证号、地址等敏感字段。</w:t>
      </w:r>
    </w:p>
    <w:p>
      <w:pPr>
        <w:keepNext/>
        <w:spacing w:after="150" w:before="30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四、数据安全分析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涉及对象：CRM_PROD.customer_info；涉及敏感字段：姓名、手机号、身份证号、地址。本次访问量 182,391 行，历史 7 日平均 12,000 行，偏离约 15.2 倍。</w:t>
      </w:r>
    </w:p>
    <w:p>
      <w:pPr>
        <w:keepNext/>
        <w:spacing w:after="60" w:before="120" w:line="348" w:lineRule="auto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【大批量敏感数据访问】 高风险</w:t>
      </w:r>
    </w:p>
    <w:p>
      <w:pPr>
        <w:keepNext/>
        <w:spacing w:after="40" w:line="348" w:lineRule="auto"/>
      </w:pPr>
      <w:r>
        <w:rPr>
          <w:rFonts w:ascii="SimSun" w:eastAsia="SimSun" w:hAnsi="SimSun"/>
          <w:color w:val="595959"/>
          <w:sz w:val="21"/>
          <w:szCs w:val="21"/>
        </w:rPr>
        <w:t xml:space="preserve">存在异常特征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单次查询返回 182,391 行，涉及敏感字段（姓名、手机号、身份证号、地址），明显超出常规业务查询量级，存在批量敏感数据暴露风险。</w:t>
      </w:r>
    </w:p>
    <w:p>
      <w:pPr>
        <w:keepNext/>
        <w:spacing w:after="60" w:before="120" w:line="348" w:lineRule="auto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【明显偏离历史访问基线】 高风险</w:t>
      </w:r>
    </w:p>
    <w:p>
      <w:pPr>
        <w:keepNext/>
        <w:spacing w:after="40" w:line="348" w:lineRule="auto"/>
      </w:pPr>
      <w:r>
        <w:rPr>
          <w:rFonts w:ascii="SimSun" w:eastAsia="SimSun" w:hAnsi="SimSun"/>
          <w:color w:val="595959"/>
          <w:sz w:val="21"/>
          <w:szCs w:val="21"/>
        </w:rPr>
        <w:t xml:space="preserve">存在异常特征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历史 7 日平均访问量为 12,000 行，本次访问 182,391 行，偏离约 15.2 倍，并超过历史单日最大值 25,000 行。 偏离幅度达到高风险阈值，存在批量敏感数据暴露风险。</w:t>
      </w:r>
    </w:p>
    <w:p>
      <w:pPr>
        <w:keepNext/>
        <w:spacing w:after="60" w:before="120" w:line="348" w:lineRule="auto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【非工作时间敏感数据访问】 中风险</w:t>
      </w:r>
    </w:p>
    <w:p>
      <w:pPr>
        <w:keepNext/>
        <w:spacing w:after="40" w:line="348" w:lineRule="auto"/>
      </w:pPr>
      <w:r>
        <w:rPr>
          <w:rFonts w:ascii="SimSun" w:eastAsia="SimSun" w:hAnsi="SimSun"/>
          <w:color w:val="595959"/>
          <w:sz w:val="21"/>
          <w:szCs w:val="21"/>
        </w:rPr>
        <w:t xml:space="preserve">存在异常特征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敏感数据访问发生在非工作时间（2026-08-08 01:30:00），与常规业务操作时间不符。</w:t>
      </w:r>
    </w:p>
    <w:p>
      <w:pPr>
        <w:keepNext/>
        <w:spacing w:after="150" w:before="30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五、网络安全分析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内网来源：10.20.3.15；外部通信对端：（无数据）；出站流量：（无数据）。</w:t>
      </w:r>
    </w:p>
    <w:p>
      <w:pPr>
        <w:keepNext/>
        <w:spacing w:after="60" w:before="120" w:line="348" w:lineRule="auto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【异常公网通信】 暂无法评级</w:t>
      </w:r>
    </w:p>
    <w:p>
      <w:pPr>
        <w:keepNext/>
        <w:spacing w:after="40" w:line="348" w:lineRule="auto"/>
      </w:pPr>
      <w:r>
        <w:rPr>
          <w:rFonts w:ascii="SimSun" w:eastAsia="SimSun" w:hAnsi="SimSun"/>
          <w:color w:val="595959"/>
          <w:sz w:val="21"/>
          <w:szCs w:val="21"/>
        </w:rPr>
        <w:t xml:space="preserve">暂缺少相关信息，当前无法判断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当前未获取对应时间段的出口网络通信数据，无法判断是否存在异常公网通信，建议结合防火墙或出口网络日志进一步核查。</w:t>
      </w:r>
    </w:p>
    <w:p>
      <w:pPr>
        <w:keepNext/>
        <w:spacing w:after="60" w:before="120" w:line="348" w:lineRule="auto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【异常出站流量】 暂无法评级</w:t>
      </w:r>
    </w:p>
    <w:p>
      <w:pPr>
        <w:keepNext/>
        <w:spacing w:after="40" w:line="348" w:lineRule="auto"/>
      </w:pPr>
      <w:r>
        <w:rPr>
          <w:rFonts w:ascii="SimSun" w:eastAsia="SimSun" w:hAnsi="SimSun"/>
          <w:color w:val="595959"/>
          <w:sz w:val="21"/>
          <w:szCs w:val="21"/>
        </w:rPr>
        <w:t xml:space="preserve">暂缺少相关信息，当前无法判断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缺少出口流量统计数据（字节数），无法判断出站流量是否异常。</w:t>
      </w:r>
    </w:p>
    <w:p>
      <w:pPr>
        <w:keepNext/>
        <w:spacing w:after="150" w:before="30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六、身份行为分析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涉及账号：etl_svc_demo01；登录来源：10.20.3.15；连续失败认证次数：0；涉及业务系统：CRM_PROD。</w:t>
      </w:r>
    </w:p>
    <w:p>
      <w:pPr>
        <w:keepNext/>
        <w:spacing w:after="60" w:before="120" w:line="348" w:lineRule="auto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【非常用来源 IP】 低风险</w:t>
      </w:r>
    </w:p>
    <w:p>
      <w:pPr>
        <w:keepNext/>
        <w:spacing w:after="40" w:line="348" w:lineRule="auto"/>
      </w:pPr>
      <w:r>
        <w:rPr>
          <w:rFonts w:ascii="SimSun" w:eastAsia="SimSun" w:hAnsi="SimSun"/>
          <w:color w:val="595959"/>
          <w:sz w:val="21"/>
          <w:szCs w:val="21"/>
        </w:rPr>
        <w:t xml:space="preserve">当前未发现明显异常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登录来源与该账号历史登录记录一致。</w:t>
      </w:r>
    </w:p>
    <w:p>
      <w:pPr>
        <w:keepNext/>
        <w:spacing w:after="60" w:before="120" w:line="348" w:lineRule="auto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【连续认证失败后成功登录】 低风险</w:t>
      </w:r>
    </w:p>
    <w:p>
      <w:pPr>
        <w:keepNext/>
        <w:spacing w:after="40" w:line="348" w:lineRule="auto"/>
      </w:pPr>
      <w:r>
        <w:rPr>
          <w:rFonts w:ascii="SimSun" w:eastAsia="SimSun" w:hAnsi="SimSun"/>
          <w:color w:val="595959"/>
          <w:sz w:val="21"/>
          <w:szCs w:val="21"/>
        </w:rPr>
        <w:t xml:space="preserve">当前未发现明显异常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登录前无失败认证记录。</w:t>
      </w:r>
    </w:p>
    <w:p>
      <w:pPr>
        <w:keepNext/>
        <w:spacing w:after="60" w:before="120" w:line="348" w:lineRule="auto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【短时间访问多个业务系统】 低风险</w:t>
      </w:r>
    </w:p>
    <w:p>
      <w:pPr>
        <w:keepNext/>
        <w:spacing w:after="40" w:line="348" w:lineRule="auto"/>
      </w:pPr>
      <w:r>
        <w:rPr>
          <w:rFonts w:ascii="SimSun" w:eastAsia="SimSun" w:hAnsi="SimSun"/>
          <w:color w:val="595959"/>
          <w:sz w:val="21"/>
          <w:szCs w:val="21"/>
        </w:rPr>
        <w:t xml:space="preserve">当前未发现明显异常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访问涉及 1 个业务系统，未见异常跨系统访问。</w:t>
      </w:r>
    </w:p>
    <w:p>
      <w:pPr>
        <w:keepNext/>
        <w:spacing w:after="150" w:before="30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七、业务合理性核查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计划任务：确认存在；变更工单：确认存在（CHG-20260808-003）；业务负责人：李演示；负责人确认：已确认；业务合理性：已授权。经核实，本次查询属于已批准的 CRM 数据迁移计划任务，工单 CHG-20260808-003，业务负责人已确认为授权行为。</w:t>
      </w:r>
    </w:p>
    <w:p>
      <w:pPr>
        <w:keepNext/>
        <w:spacing w:after="60" w:before="120" w:line="348" w:lineRule="auto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【变更工单核查】 低风险</w:t>
      </w:r>
    </w:p>
    <w:p>
      <w:pPr>
        <w:keepNext/>
        <w:spacing w:after="40" w:line="348" w:lineRule="auto"/>
      </w:pPr>
      <w:r>
        <w:rPr>
          <w:rFonts w:ascii="SimSun" w:eastAsia="SimSun" w:hAnsi="SimSun"/>
          <w:color w:val="595959"/>
          <w:sz w:val="21"/>
          <w:szCs w:val="21"/>
        </w:rPr>
        <w:t xml:space="preserve">当前未发现明显异常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已找到对应变更工单 CHG-20260808-003，本次操作存在正式变更记录。</w:t>
      </w:r>
    </w:p>
    <w:p>
      <w:pPr>
        <w:keepNext/>
        <w:spacing w:after="60" w:before="120" w:line="348" w:lineRule="auto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【业务负责人确认】 低风险</w:t>
      </w:r>
    </w:p>
    <w:p>
      <w:pPr>
        <w:keepNext/>
        <w:spacing w:after="40" w:line="348" w:lineRule="auto"/>
      </w:pPr>
      <w:r>
        <w:rPr>
          <w:rFonts w:ascii="SimSun" w:eastAsia="SimSun" w:hAnsi="SimSun"/>
          <w:color w:val="595959"/>
          <w:sz w:val="21"/>
          <w:szCs w:val="21"/>
        </w:rPr>
        <w:t xml:space="preserve">当前未发现明显异常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业务负责人 李演示 已确认本次操作属于授权行为。</w:t>
      </w:r>
    </w:p>
    <w:p>
      <w:pPr>
        <w:keepNext/>
        <w:spacing w:after="60" w:before="120" w:line="348" w:lineRule="auto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【业务合理性判断】 低风险</w:t>
      </w:r>
    </w:p>
    <w:p>
      <w:pPr>
        <w:keepNext/>
        <w:spacing w:after="40" w:line="348" w:lineRule="auto"/>
      </w:pPr>
      <w:r>
        <w:rPr>
          <w:rFonts w:ascii="SimSun" w:eastAsia="SimSun" w:hAnsi="SimSun"/>
          <w:color w:val="595959"/>
          <w:sz w:val="21"/>
          <w:szCs w:val="21"/>
        </w:rPr>
        <w:t xml:space="preserve">当前未发现明显异常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经核查，本次操作存在有效变更工单，且业务负责人已确认属于授权数据迁移任务。结合现有业务证据，本次技术异常行为可由已授权业务活动合理解释。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业务说明：经核实，本次查询属于已批准的 CRM 数据迁移计划任务，工单 CHG-20260808-003，业务负责人已确认为授权行为。</w:t>
      </w:r>
    </w:p>
    <w:p>
      <w:pPr>
        <w:keepNext/>
        <w:spacing w:after="150" w:before="30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八、研判依据与证据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本报告共引用 5 条证据，均以脱敏摘要形式列出，不包含原始敏感日志全文。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2"/>
        <w:gridCol w:w="1452"/>
        <w:gridCol w:w="1814"/>
        <w:gridCol w:w="4355"/>
      </w:tblGrid>
      <w:tr>
        <w:trPr>
          <w:cantSplit/>
          <w:tblHeader/>
        </w:trPr>
        <w:tc>
          <w:tcPr>
            <w:tcW w:type="dxa" w:w="1452"/>
            <w:shd w:fill="F2F2F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证据编号</w:t>
            </w:r>
          </w:p>
        </w:tc>
        <w:tc>
          <w:tcPr>
            <w:tcW w:type="dxa" w:w="1452"/>
            <w:shd w:fill="F2F2F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来源</w:t>
            </w:r>
          </w:p>
        </w:tc>
        <w:tc>
          <w:tcPr>
            <w:tcW w:type="dxa" w:w="1814"/>
            <w:shd w:fill="F2F2F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时间</w:t>
            </w:r>
          </w:p>
        </w:tc>
        <w:tc>
          <w:tcPr>
            <w:tcW w:type="dxa" w:w="4355"/>
            <w:shd w:fill="F2F2F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证据摘要</w:t>
            </w:r>
          </w:p>
        </w:tc>
      </w:tr>
      <w:tr>
        <w:trPr>
          <w:cantSplit/>
        </w:trPr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DATA-001-E1</w:t>
            </w:r>
          </w:p>
        </w:tc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数据库审计日志</w:t>
            </w:r>
          </w:p>
        </w:tc>
        <w:tc>
          <w:tcPr>
            <w:tcW w:type="dxa" w:w="18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2026-08-08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01:30:00</w:t>
            </w:r>
          </w:p>
        </w:tc>
        <w:tc>
          <w:tcPr>
            <w:tcW w:type="dxa" w:w="435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CRM_PROD.customer_info 单次查询返回 182,391 行，涉及敏感字段：姓名、手机号、身份证号、地址，量级明显超出常规业务查询。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关联规则：DATA-001</w:t>
            </w:r>
          </w:p>
        </w:tc>
      </w:tr>
      <w:tr>
        <w:trPr>
          <w:cantSplit/>
        </w:trPr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DATA-002-E1</w:t>
            </w:r>
          </w:p>
        </w:tc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数据库审计日志</w:t>
            </w:r>
          </w:p>
        </w:tc>
        <w:tc>
          <w:tcPr>
            <w:tcW w:type="dxa" w:w="18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2026-08-08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01:30:00</w:t>
            </w:r>
          </w:p>
        </w:tc>
        <w:tc>
          <w:tcPr>
            <w:tcW w:type="dxa" w:w="435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历史 7 日平均访问量为 12,000 行，本次访问 182,391 行，偏离约 15.2 倍，并超过历史单日最大值 25,000 行。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关联规则：DATA-002</w:t>
            </w:r>
          </w:p>
        </w:tc>
      </w:tr>
      <w:tr>
        <w:trPr>
          <w:cantSplit/>
        </w:trPr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DATA-003-E1</w:t>
            </w:r>
          </w:p>
        </w:tc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数据库审计日志</w:t>
            </w:r>
          </w:p>
        </w:tc>
        <w:tc>
          <w:tcPr>
            <w:tcW w:type="dxa" w:w="18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2026-08-08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01:30:00</w:t>
            </w:r>
          </w:p>
        </w:tc>
        <w:tc>
          <w:tcPr>
            <w:tcW w:type="dxa" w:w="435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敏感数据访问发生于 2026-08-08 01:30:00，处于非工作时间窗口。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关联规则：DATA-003</w:t>
            </w:r>
          </w:p>
        </w:tc>
      </w:tr>
      <w:tr>
        <w:trPr>
          <w:cantSplit/>
        </w:trPr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BUSINESS-001-E1</w:t>
            </w:r>
          </w:p>
        </w:tc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变更工单</w:t>
            </w:r>
          </w:p>
        </w:tc>
        <w:tc>
          <w:tcPr>
            <w:tcW w:type="dxa" w:w="18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2026-08-08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01:30:00</w:t>
            </w:r>
          </w:p>
        </w:tc>
        <w:tc>
          <w:tcPr>
            <w:tcW w:type="dxa" w:w="435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变更管理系统中存在与本次操作对应的工单 CHG-20260808-003，操作窗口与告警时间吻合。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关联规则：BUSINESS-001</w:t>
            </w:r>
          </w:p>
        </w:tc>
      </w:tr>
      <w:tr>
        <w:trPr>
          <w:cantSplit/>
        </w:trPr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BUSINESS-002-E1</w:t>
            </w:r>
          </w:p>
        </w:tc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人工录入</w:t>
            </w:r>
          </w:p>
        </w:tc>
        <w:tc>
          <w:tcPr>
            <w:tcW w:type="dxa" w:w="18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2026-08-08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01:30:00</w:t>
            </w:r>
          </w:p>
        </w:tc>
        <w:tc>
          <w:tcPr>
            <w:tcW w:type="dxa" w:w="435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业务负责人 李演示 确认本次操作属于授权业务行为。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关联规则：BUSINESS-002</w:t>
            </w:r>
          </w:p>
        </w:tc>
      </w:tr>
    </w:tbl>
    <w:p>
      <w:pPr>
        <w:spacing w:after="60"/>
      </w:pPr>
      <w:r>
        <w:rPr>
          <w:sz w:val="20"/>
          <w:szCs w:val="20"/>
        </w:rPr>
        <w:t xml:space="preserve"/>
      </w:r>
    </w:p>
    <w:p>
      <w:pPr>
        <w:keepNext/>
        <w:spacing w:after="150" w:before="30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九、核查情况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本次研判共生成核查事项 6 项，已完成 3 项，未完成 3 项。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未完成事项：确认数据是否被导出及去向；核查是否存在夜间计划任务或值班操作安排；获取对应时间段防火墙/出口网络日志及流量统计信息。</w:t>
      </w:r>
    </w:p>
    <w:p>
      <w:pPr>
        <w:keepNext/>
        <w:spacing w:after="150" w:before="30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十、事件处置过程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事件处置过程共记录 3 条（含人工处置记录），详见下表。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4"/>
        <w:gridCol w:w="1452"/>
        <w:gridCol w:w="1270"/>
        <w:gridCol w:w="4536"/>
      </w:tblGrid>
      <w:tr>
        <w:trPr>
          <w:cantSplit/>
          <w:tblHeader/>
        </w:trPr>
        <w:tc>
          <w:tcPr>
            <w:tcW w:type="dxa" w:w="1814"/>
            <w:shd w:fill="F2F2F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时间</w:t>
            </w:r>
          </w:p>
        </w:tc>
        <w:tc>
          <w:tcPr>
            <w:tcW w:type="dxa" w:w="1452"/>
            <w:shd w:fill="F2F2F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操作人员</w:t>
            </w:r>
          </w:p>
        </w:tc>
        <w:tc>
          <w:tcPr>
            <w:tcW w:type="dxa" w:w="1270"/>
            <w:shd w:fill="F2F2F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事件类型</w:t>
            </w:r>
          </w:p>
        </w:tc>
        <w:tc>
          <w:tcPr>
            <w:tcW w:type="dxa" w:w="4536"/>
            <w:shd w:fill="F2F2F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Microsoft YaHei" w:eastAsia="Microsoft YaHei" w:hAnsi="Microsoft YaHei"/>
                <w:b/>
                <w:bCs/>
                <w:sz w:val="21"/>
                <w:szCs w:val="21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2026-08-08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01:30:00</w:t>
            </w:r>
          </w:p>
        </w:tc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系统</w:t>
            </w:r>
          </w:p>
        </w:tc>
        <w:tc>
          <w:tcPr>
            <w:tcW w:type="dxa" w:w="127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告警</w:t>
            </w:r>
          </w:p>
        </w:tc>
        <w:tc>
          <w:tcPr>
            <w:tcW w:type="dxa" w:w="45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CRM_PROD.customer_info 被批量查询约 182,391 条记录。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2026-08-08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09:40:00</w:t>
            </w:r>
          </w:p>
        </w:tc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王研判</w:t>
            </w:r>
          </w:p>
        </w:tc>
        <w:tc>
          <w:tcPr>
            <w:tcW w:type="dxa" w:w="127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人工处置</w:t>
            </w:r>
          </w:p>
        </w:tc>
        <w:tc>
          <w:tcPr>
            <w:tcW w:type="dxa" w:w="45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研判人员核查业务上下文，检索到变更工单 CHG-20260808-003。</w:t>
            </w:r>
          </w:p>
        </w:tc>
      </w:tr>
      <w:tr>
        <w:trPr>
          <w:cantSplit/>
        </w:trPr>
        <w:tc>
          <w:tcPr>
            <w:tcW w:type="dxa" w:w="1814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2026-08-08</w:t>
            </w:r>
          </w:p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595959"/>
                <w:sz w:val="18"/>
                <w:szCs w:val="18"/>
              </w:rPr>
              <w:t xml:space="preserve">10:10:00</w:t>
            </w:r>
          </w:p>
        </w:tc>
        <w:tc>
          <w:tcPr>
            <w:tcW w:type="dxa" w:w="1452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王研判</w:t>
            </w:r>
          </w:p>
        </w:tc>
        <w:tc>
          <w:tcPr>
            <w:tcW w:type="dxa" w:w="1270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人工处置</w:t>
            </w:r>
          </w:p>
        </w:tc>
        <w:tc>
          <w:tcPr>
            <w:tcW w:type="dxa" w:w="4536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20" w:line="300" w:lineRule="auto"/>
            </w:pPr>
            <w:r>
              <w:rPr>
                <w:rFonts w:ascii="SimSun" w:eastAsia="SimSun" w:hAnsi="SimSun"/>
                <w:color w:val="000000"/>
                <w:sz w:val="20"/>
                <w:szCs w:val="20"/>
              </w:rPr>
              <w:t xml:space="preserve">李演示确认本次查询属于授权数据迁移。</w:t>
            </w:r>
          </w:p>
        </w:tc>
      </w:tr>
    </w:tbl>
    <w:p>
      <w:pPr>
        <w:spacing w:after="60"/>
      </w:pPr>
      <w:r>
        <w:rPr>
          <w:sz w:val="20"/>
          <w:szCs w:val="20"/>
        </w:rPr>
        <w:t xml:space="preserve"/>
      </w:r>
    </w:p>
    <w:p>
      <w:pPr>
        <w:keepNext/>
        <w:spacing w:after="150" w:before="30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十一、影响分析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经业务核实，本次行为属于授权业务操作，未发现充分证据证明存在数据外泄或安全事件影响。</w:t>
      </w:r>
    </w:p>
    <w:p>
      <w:pPr>
        <w:keepNext/>
        <w:spacing w:after="150" w:before="30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十二、人工研判结论</w:t>
      </w:r>
    </w:p>
    <w:p>
      <w:pPr>
        <w:spacing w:after="110" w:line="348" w:lineRule="auto"/>
      </w:pPr>
      <w:r>
        <w:rPr>
          <w:rFonts w:ascii="SimSun" w:eastAsia="SimSun" w:hAnsi="SimSun"/>
          <w:b/>
          <w:bCs/>
          <w:sz w:val="23"/>
          <w:szCs w:val="23"/>
        </w:rPr>
        <w:t xml:space="preserve">最终结论：正常授权业务行为</w:t>
      </w:r>
    </w:p>
    <w:p>
      <w:pPr>
        <w:spacing w:after="110" w:line="348" w:lineRule="auto"/>
      </w:pPr>
      <w:r>
        <w:rPr>
          <w:rFonts w:ascii="SimSun" w:eastAsia="SimSun" w:hAnsi="SimSun"/>
          <w:b/>
          <w:bCs/>
          <w:sz w:val="23"/>
          <w:szCs w:val="23"/>
        </w:rPr>
        <w:t xml:space="preserve">人工风险等级：低风险</w:t>
      </w:r>
    </w:p>
    <w:p>
      <w:pPr>
        <w:spacing w:after="110" w:line="348" w:lineRule="auto"/>
        <w:ind w:firstLine="440"/>
      </w:pPr>
      <w:r>
        <w:rPr>
          <w:rFonts w:ascii="SimSun" w:eastAsia="SimSun" w:hAnsi="SimSun"/>
          <w:sz w:val="22"/>
          <w:szCs w:val="22"/>
        </w:rPr>
        <w:t xml:space="preserve">研判说明：技术层面查询行为异常，但存在正式变更工单且业务负责人已确认，人工结论：正常授权业务行为。</w:t>
      </w:r>
    </w:p>
    <w:p>
      <w:pPr>
        <w:spacing w:after="110" w:line="348" w:lineRule="auto"/>
      </w:pPr>
      <w:r>
        <w:rPr>
          <w:rFonts w:ascii="SimSun" w:eastAsia="SimSun" w:hAnsi="SimSun"/>
          <w:b/>
          <w:bCs/>
          <w:sz w:val="23"/>
          <w:szCs w:val="23"/>
        </w:rPr>
        <w:t xml:space="preserve">研判人员：王研判</w:t>
      </w:r>
    </w:p>
    <w:p>
      <w:pPr>
        <w:keepNext/>
        <w:spacing w:after="150" w:before="300"/>
      </w:pPr>
      <w:r>
        <w:rPr>
          <w:rFonts w:ascii="Microsoft YaHei" w:eastAsia="Microsoft YaHei" w:hAnsi="Microsoft YaHei"/>
          <w:b/>
          <w:bCs/>
          <w:sz w:val="28"/>
          <w:szCs w:val="28"/>
        </w:rPr>
        <w:t xml:space="preserve">十三、整改建议</w:t>
      </w:r>
    </w:p>
    <w:p>
      <w:pPr>
        <w:spacing w:after="70" w:line="348" w:lineRule="auto"/>
        <w:ind w:left="220"/>
      </w:pPr>
      <w:r>
        <w:rPr>
          <w:rFonts w:ascii="SimSun" w:eastAsia="SimSun" w:hAnsi="SimSun"/>
          <w:sz w:val="22"/>
          <w:szCs w:val="22"/>
        </w:rPr>
        <w:t xml:space="preserve">1. 完善变更工单与敏感操作的关联管理</w:t>
      </w:r>
    </w:p>
    <w:p>
      <w:pPr>
        <w:spacing w:after="70" w:line="348" w:lineRule="auto"/>
        <w:ind w:left="220"/>
      </w:pPr>
      <w:r>
        <w:rPr>
          <w:rFonts w:ascii="SimSun" w:eastAsia="SimSun" w:hAnsi="SimSun"/>
          <w:sz w:val="22"/>
          <w:szCs w:val="22"/>
        </w:rPr>
        <w:t xml:space="preserve">2. 将已授权的批量任务纳入白名单，减少同类告警误报</w:t>
      </w:r>
    </w:p>
    <w:p>
      <w:pPr>
        <w:spacing w:after="70" w:line="348" w:lineRule="auto"/>
        <w:ind w:left="220"/>
      </w:pPr>
      <w:r>
        <w:rPr>
          <w:rFonts w:ascii="SimSun" w:eastAsia="SimSun" w:hAnsi="SimSun"/>
          <w:sz w:val="22"/>
          <w:szCs w:val="22"/>
        </w:rPr>
        <w:t xml:space="preserve">3. 完善夜间计划任务的备案与通知机制</w:t>
      </w:r>
    </w:p>
    <w:p>
      <w:pPr>
        <w:spacing w:after="70" w:line="348" w:lineRule="auto"/>
        <w:ind w:left="220"/>
      </w:pPr>
      <w:r>
        <w:rPr>
          <w:rFonts w:ascii="SimSun" w:eastAsia="SimSun" w:hAnsi="SimSun"/>
          <w:sz w:val="22"/>
          <w:szCs w:val="22"/>
        </w:rPr>
        <w:t xml:space="preserve">4. 保留本次核查记录，便于后续审计追溯</w:t>
      </w:r>
    </w:p>
    <w:p>
      <w:pPr>
        <w:spacing w:after="70" w:line="348" w:lineRule="auto"/>
        <w:ind w:left="220"/>
      </w:pPr>
      <w:r>
        <w:rPr>
          <w:rFonts w:ascii="SimSun" w:eastAsia="SimSun" w:hAnsi="SimSun"/>
          <w:sz w:val="22"/>
          <w:szCs w:val="22"/>
        </w:rPr>
        <w:t xml:space="preserve">5. 优化类似告警的触发策略与阈值</w:t>
      </w:r>
    </w:p>
    <w:sectPr>
      <w:pgSz w:w="11906" w:h="16838" w:orient="portrait"/>
      <w:pgMar w:top="1361" w:right="1417" w:bottom="1361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2026-08-08T15:15:36.612Z</dcterms:created>
  <dcterms:modified xsi:type="dcterms:W3CDTF">2026-08-08T15:15:36.612Z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