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2026-08-10 00:19:46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十二、相关合规参考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《中华人民共和国网络安全法》（2025年修正版） / 第二十一条 防未经授权访问（要点）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2025-amendment。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《中华人民共和国网络安全法》（2025年修正版） / 第二十五条 网络安全事件应急预案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2025-amendment。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关联控制：CTRL-INCIDENT-01。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《中华人民共和国网络安全法》（2025年修正版） / 第二十七条 禁止危害网络安全的活动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2025-amendment。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关联控制：CTRL-INCIDENT-01。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《中华人民共和国数据安全法》（2021年公布施行） / 第二十一条 数据分类分级保护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关联控制：CTRL-DATA-CLASSIFY-01。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《中华人民共和国数据安全法》（2021年公布施行） / 第二十七条 数据处理活动风险监测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关联控制：CTRL-BUSINESS-AUTH-01、CTRL-DATA-ACCESS-01。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《中华人民共和国数据安全法》（2021年公布施行） / 第二十九条 重要数据风险评估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关联控制：CTRL-INCIDENT-01。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7. 《信息安全技术 网络安全等级保护基本要求（GB/T 22239-2019）》（GB/T 22239-2019） / 访问控制（精选要求）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引用说明：本条为标准/制度要求摘要或控制参考，非全文原文引用；详细条文请核验官方标准文本。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2019。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8. 《信息安全技术 网络安全等级保护基本要求（GB/T 22239-2019）》（GB/T 22239-2019） / 安全审计（精选要求）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引用说明：本条为标准/制度要求摘要或控制参考，非全文原文引用；详细条文请核验官方标准文本。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2019。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9. 《网络数据安全管理条例》（2024年公布（2025年施行）） / 第十一条 身份认证与权限管理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10. 《中华人民共和国个人信息保护法》（2021年公布施行） / 第十三条 处理个人信息的合法性基础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关联控制：CTRL-BUSINESS-AUTH-01。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11. 《中华人民共和国个人信息保护法》（2021年公布施行） / 第五十一条 个人信息安全技术与管理措施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十三、可能相关要求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当前证据下未形成“可能涉及”的合规要求条目。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十四、建议进一步核实事项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当前无因缺少必要上下文而暂无法判断的合规条目。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十五、人工研判结论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16、整改建议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2026-08-09T16:19:46.504Z</dcterms:created>
  <dcterms:modified xsi:type="dcterms:W3CDTF">2026-08-09T16:19:46.504Z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