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Microsoft YaHei" w:eastAsia="Microsoft YaHei" w:hAnsi="Microsoft YaHei"/>
          <w:b/>
          <w:bCs/>
          <w:sz w:val="42"/>
          <w:szCs w:val="42"/>
        </w:rPr>
        <w:t xml:space="preserve">数据与网络安全事件调查分析报告</w:t>
      </w:r>
    </w:p>
    <w:p>
      <w:pPr>
        <w:spacing w:after="40"/>
        <w:jc w:val="center"/>
      </w:pPr>
      <w:r>
        <w:rPr>
          <w:rFonts w:ascii="Microsoft YaHei" w:eastAsia="Microsoft YaHei" w:hAnsi="Microsoft YaHei"/>
          <w:color w:val="595959"/>
          <w:sz w:val="21"/>
          <w:szCs w:val="21"/>
        </w:rPr>
        <w:t xml:space="preserve">INC-20260808-002</w:t>
      </w:r>
    </w:p>
    <w:p>
      <w:pPr>
        <w:spacing w:after="260"/>
        <w:jc w:val="center"/>
      </w:pPr>
      <w:r>
        <w:rPr>
          <w:rFonts w:ascii="SimSun" w:eastAsia="SimSun" w:hAnsi="SimSun"/>
          <w:color w:val="808080"/>
          <w:sz w:val="18"/>
          <w:szCs w:val="18"/>
        </w:rPr>
        <w:t xml:space="preserve">演示说明：本报告中的账号、IP、人员、系统及事件数据均为虚构，仅用于功能演示。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一、基本信息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96"/>
        <w:gridCol w:w="7076"/>
      </w:tblGrid>
      <w:tr>
        <w:trPr>
          <w:cantSplit/>
          <w:tblHeader/>
        </w:trPr>
        <w:tc>
          <w:tcPr>
            <w:tcW w:type="dxa" w:w="199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项目</w:t>
            </w:r>
          </w:p>
        </w:tc>
        <w:tc>
          <w:tcPr>
            <w:tcW w:type="dxa" w:w="707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内容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案件编号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INC-20260808-002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事件名称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Case B：疑似账号失陷引发异常数据访问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发现时间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 01:58:00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告警来源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统一认证系统 / 数据库审计系统（演示）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告警级别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人工风险等级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高风险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</w:tr>
      <w:tr>
        <w:trPr>
          <w:cantSplit/>
        </w:trPr>
        <w:tc>
          <w:tcPr>
            <w:tcW w:type="dxa" w:w="1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报告生成时间</w:t>
            </w:r>
          </w:p>
        </w:tc>
        <w:tc>
          <w:tcPr>
            <w:tcW w:type="dxa" w:w="70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2026-08-10 00:28:10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二、事件概述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账号异常登录与敏感数据访问告警。告警时间：2026-08-08 01:58:00；告警来源：统一认证系统 / 数据库审计系统（演示）。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系统初步分析（仅供辅助研判）：当前证据显示，数据安全、身份行为、网络安全多个维度同时存在异常，业务合理性尚未确认，疑似存在安全风险，建议升级进一步安全调查。该系统建议不构成最终结论，需人工确认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三、原始告警信息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告警编号：DEMO-AUTH-20260808-0158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告警标题：账号异常登录与敏感数据访问告警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告警级别：高风险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告警描述：账号在连续失败认证后，由此前未出现过的内网测试地址登录成功，随后跨多个业务系统访问并批量查询敏感数据，同时出现异常公网通信。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四、数据安全分析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涉及对象：CRM_PROD.customer_info；涉及敏感字段：姓名、手机号、身份证号、地址。本次访问量 182,391 行，历史 7 日平均 14,820 行，偏离约 12.3 倍。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【大批量敏感数据访问】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单次查询返回 182,391 行，涉及敏感字段（姓名、手机号、身份证号、地址），明显超出常规业务查询量级，存在批量敏感数据暴露风险。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【明显偏离历史访问基线】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历史 7 日平均访问量为 14,820 行，本次访问 182,391 行，偏离约 12.3 倍，并超过历史单日最大值 30,000 行。 偏离幅度达到高风险阈值，存在批量敏感数据暴露风险。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【非工作时间敏感数据访问】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敏感数据访问发生在非工作时间（2026-08-08 01:58:00），与常规业务操作时间不符。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五、网络安全分析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内网来源：172.16.8.23；外部通信对端：203.0.113.42:443；出站流量：约 1200MB。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【异常公网通信】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检测到向 203.0.113.42:443 的持续公网通信，暂无法排除数据外传风险，建议进一步核查通信内容。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【异常出站流量】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告警时间窗内出站流量约 1200MB，明显超出常规业务出站基线，暂无法排除数据外传风险。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六、身份行为分析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涉及账号：demo_user_07；登录来源：172.16.8.23；连续失败认证次数：16；涉及业务系统：HR 系统、ERP 系统、CRM_PROD。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【非常用来源 IP】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登录来源 172.16.8.23 此前从未在该账号的登录记录中出现，属于非常用来源。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【连续认证失败后成功登录】 高风险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账号在成功登录前连续失败认证 16 次，随后登录成功，疑似凭据被猜测或泄露，建议进一步核查。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【短时间访问多个业务系统】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同一账号在告警时间窗内先后访问 3 个业务系统（HR 系统、ERP 系统、CRM_PROD），与该账号历史行为模式不符。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七、业务合理性核查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计划任务：确认不存在；变更工单：确认不存在；业务负责人：（无数据）；负责人确认：未获取信息；业务合理性：尚未判断。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【变更工单核查】 中风险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存在异常特征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在变更管理系统中未找到与本次操作对应的工单，暂无法排除未授权操作，建议核查业务合理性。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【业务负责人确认】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尚未获取业务负责人确认，无法判断本次操作是否获得授权。</w:t>
      </w:r>
    </w:p>
    <w:p>
      <w:pPr>
        <w:keepNext/>
        <w:spacing w:after="60" w:before="120" w:line="348" w:lineRule="auto"/>
      </w:pPr>
      <w:r>
        <w:rPr>
          <w:rFonts w:ascii="Microsoft YaHei" w:eastAsia="Microsoft YaHei" w:hAnsi="Microsoft YaHei"/>
          <w:b/>
          <w:bCs/>
          <w:sz w:val="22"/>
          <w:szCs w:val="22"/>
        </w:rPr>
        <w:t xml:space="preserve">【业务合理性判断】 暂无法评级</w:t>
      </w:r>
    </w:p>
    <w:p>
      <w:pPr>
        <w:keepNext/>
        <w:spacing w:after="40" w:line="348" w:lineRule="auto"/>
      </w:pPr>
      <w:r>
        <w:rPr>
          <w:rFonts w:ascii="SimSun" w:eastAsia="SimSun" w:hAnsi="SimSun"/>
          <w:color w:val="595959"/>
          <w:sz w:val="21"/>
          <w:szCs w:val="21"/>
        </w:rPr>
        <w:t xml:space="preserve">暂缺少相关信息，当前无法判断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缺少工单与负责人确认等关键信息，暂无法判断业务合理性。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八、研判依据与证据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本报告共引用 8 条证据，均以脱敏摘要形式列出，不包含原始敏感日志全文。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2"/>
        <w:gridCol w:w="1452"/>
        <w:gridCol w:w="1814"/>
        <w:gridCol w:w="4355"/>
      </w:tblGrid>
      <w:tr>
        <w:trPr>
          <w:cantSplit/>
          <w:tblHeader/>
        </w:trPr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证据编号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来源</w:t>
            </w:r>
          </w:p>
        </w:tc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4355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证据摘要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CRM_PROD.customer_info 单次查询返回 182,391 行，涉及敏感字段：姓名、手机号、身份证号、地址，量级明显超出常规业务查询。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历史 7 日平均访问量为 14,820 行，本次访问 182,391 行，偏离约 12.3 倍，并超过历史单日最大值 30,000 行。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DATA-003-E1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数据库审计日志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敏感数据访问发生于 2026-08-08 01:58:00，处于非工作时间窗口。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关联规则：DATA-003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自 172.16.8.23 登录成功，该地址在此前的登录历史中从未出现。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在成功登录前连续失败认证 16 次，随后自 172.16.8.23 完成成功登录。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关联规则：IDENTITY-002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IDENTITY-003-E1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业务系统日志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在短时间内先后访问 HR 系统、ERP 系统、CRM_PROD，跨系统访问范围超出其历史行为模式。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关联规则：IDENTITY-003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NETWORK-001-E1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检测到自内网向 203.0.113.42:443 的持续公网连接，与常规业务外联基线不符。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关联规则：NETWORK-001</w:t>
            </w:r>
          </w:p>
        </w:tc>
      </w:tr>
      <w:tr>
        <w:trPr>
          <w:cantSplit/>
        </w:trPr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NETWORK-002-E1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网络日志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43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告警时间窗内累计出站流量约 1200MB，明显超出常规业务出站基线。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关联规则：NETWORK-002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九、核查情况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本次研判共生成核查事项 13 项，已完成 0 项，未完成 13 项。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未完成事项：核查计划任务；查询变更工单；联系业务负责人；确认数据是否被导出及去向；核查是否存在夜间计划任务或值班操作安排；核实源 IP 资产归属；确认账号实际使用人；联系账号使用人确认是否本人操作；核查失败认证的来源地址分布；核对各系统访问日志与业务操作记录；获取对应时间段防火墙/出口网络日志及流量统计信息；核查通信对端地址归属与通信内容；核查出站流量的目的地、协议与会话内容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十、事件处置过程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事件时间线共记录 7 条（含系统与人工补充的事件事实），详见下表。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4"/>
        <w:gridCol w:w="1452"/>
        <w:gridCol w:w="1270"/>
        <w:gridCol w:w="4536"/>
      </w:tblGrid>
      <w:tr>
        <w:trPr>
          <w:cantSplit/>
          <w:tblHeader/>
        </w:trPr>
        <w:tc>
          <w:tcPr>
            <w:tcW w:type="dxa" w:w="1814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时间</w:t>
            </w:r>
          </w:p>
        </w:tc>
        <w:tc>
          <w:tcPr>
            <w:tcW w:type="dxa" w:w="1452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操作人员</w:t>
            </w:r>
          </w:p>
        </w:tc>
        <w:tc>
          <w:tcPr>
            <w:tcW w:type="dxa" w:w="1270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事件类型</w:t>
            </w:r>
          </w:p>
        </w:tc>
        <w:tc>
          <w:tcPr>
            <w:tcW w:type="dxa" w:w="4536"/>
            <w:shd w:fill="F2F2F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Microsoft YaHei" w:eastAsia="Microsoft YaHei" w:hAnsi="Microsoft YaHei"/>
                <w:b/>
                <w:bCs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01:58:00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账号 demo_user_07 连续失败登录 16 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02:01:00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认证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由此前未出现过的 172.16.8.23（内网测试地址）登录成功。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HR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02:15:00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该账号历史未访问过 ERP 系统。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02:36:00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数据访问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查询 CRM_PROD.customer_info 约 182,391 条敏感记录。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02:41:00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系统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网络通信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检测到向 203.0.113.42 的持续公网通信。</w:t>
            </w:r>
          </w:p>
        </w:tc>
      </w:tr>
      <w:tr>
        <w:trPr>
          <w:cantSplit/>
        </w:trPr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2026-08-08</w:t>
            </w:r>
          </w:p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595959"/>
                <w:sz w:val="18"/>
                <w:szCs w:val="18"/>
              </w:rPr>
              <w:t xml:space="preserve">09:20:00</w:t>
            </w:r>
          </w:p>
        </w:tc>
        <w:tc>
          <w:tcPr>
            <w:tcW w:type="dxa" w:w="145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王研判</w:t>
            </w:r>
          </w:p>
        </w:tc>
        <w:tc>
          <w:tcPr>
            <w:tcW w:type="dxa" w:w="12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人工处置</w:t>
            </w:r>
          </w:p>
        </w:tc>
        <w:tc>
          <w:tcPr>
            <w:tcW w:type="dxa" w:w="45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300" w:lineRule="auto"/>
            </w:pPr>
            <w:r>
              <w:rPr>
                <w:rFonts w:ascii="SimSun" w:eastAsia="SimSun" w:hAnsi="SimSun"/>
                <w:color w:val="000000"/>
                <w:sz w:val="20"/>
                <w:szCs w:val="20"/>
              </w:rPr>
              <w:t xml:space="preserve">研判人员联系账号使用人，反馈当日未进行任何登录操作。</w:t>
            </w:r>
          </w:p>
        </w:tc>
      </w:tr>
    </w:tbl>
    <w:p>
      <w:pPr>
        <w:spacing w:after="60"/>
      </w:pPr>
      <w:r>
        <w:rPr>
          <w:sz w:val="20"/>
          <w:szCs w:val="20"/>
        </w:rPr>
        <w:t xml:space="preserve"/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十一、影响分析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当前证据显示存在异常行为，暂无法排除数据泄露风险，实际影响范围尚需进一步核查；本报告不对影响范围作确定性断言。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十二、相关合规参考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《中华人民共和国网络安全法》（2025年修正版） / 第二十一条 防未经授权访问（要点）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2025-amendment。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《中华人民共和国数据安全法》（2021年公布施行） / 第二十七条 数据处理活动风险监测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《信息安全技术 网络安全等级保护基本要求（GB/T 22239-2019）》（GB/T 22239-2019） / 访问控制（精选要求）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《信息安全技术 网络安全等级保护基本要求（GB/T 22239-2019）》（GB/T 22239-2019） / 安全审计（精选要求）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引用说明：本条为标准/制度要求摘要或控制参考，非全文原文引用；详细条文请核验官方标准文本。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2019。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《网络数据安全管理条例》（2024年公布（2025年施行）） / 第十一条 身份认证与权限管理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《中华人民共和国个人信息保护法》（2021年公布施行） / 第五十一条 个人信息安全技术与管理措施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关联程度：存在相关性。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关联控制：CTRL-DATA-ACCESS-01。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十三、可能相关要求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《中华人民共和国数据安全法》（2021年公布施行） / 第三十一条 重要数据出境安全评估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《网络数据安全管理条例》（2024年公布（2025年施行）） / 第二十七条 重要数据识别与保护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关联控制：CTRL-DATA-CLASSIFY-01。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《网络数据安全管理条例》（2024年公布（2025年施行）） / 第三十六条 出境与跨境传输相关要求（要点）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2024-original。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关联控制：CTRL-DATA-EXPORT-01。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《中华人民共和国个人信息保护法》（2021年公布施行） / 第十三条 处理个人信息的合法性基础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关联程度：可能涉及，需结合业务背景进一步确认。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说明：该条款与案件命中分析所关联的控制项存在知识映射，供人工进一步核实。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版本依据：案件日期 2026-08-08 适用版本 2021-original。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关联控制：CTRL-BUSINESS-AUTH-01、CTRL-PRIVACY-01。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十四、建议进一步核实事项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说明：以下内容为案件报告生成时固化的合规参考快照，仅用于辅助核查可能相关的制度或标准要求；最终研判结论以人工确认为准，本报告不对行为作出法律责任或合规符合性认定。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当前无因缺少必要上下文而暂无法判断的合规条目。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十五、人工研判结论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最终结论：疑似安全事件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人工风险等级：高风险</w:t>
      </w:r>
    </w:p>
    <w:p>
      <w:pPr>
        <w:spacing w:after="110" w:line="348" w:lineRule="auto"/>
        <w:ind w:firstLine="440"/>
      </w:pPr>
      <w:r>
        <w:rPr>
          <w:rFonts w:ascii="SimSun" w:eastAsia="SimSun" w:hAnsi="SimSun"/>
          <w:sz w:val="22"/>
          <w:szCs w:val="22"/>
        </w:rPr>
        <w:t xml:space="preserve">研判说明：当前证据显示疑似账号失陷并伴随异常数据访问，存在数据泄露风险，建议升级为安全事件并进一步核查公网通信内容。该结论为人工研判意见，待补充证据后复核。</w:t>
      </w:r>
    </w:p>
    <w:p>
      <w:pPr>
        <w:spacing w:after="110" w:line="348" w:lineRule="auto"/>
      </w:pPr>
      <w:r>
        <w:rPr>
          <w:rFonts w:ascii="SimSun" w:eastAsia="SimSun" w:hAnsi="SimSun"/>
          <w:b/>
          <w:bCs/>
          <w:sz w:val="23"/>
          <w:szCs w:val="23"/>
        </w:rPr>
        <w:t xml:space="preserve">研判人员：王研判</w:t>
      </w:r>
    </w:p>
    <w:p>
      <w:pPr>
        <w:keepNext/>
        <w:spacing w:after="150" w:before="300"/>
      </w:pPr>
      <w:r>
        <w:rPr>
          <w:rFonts w:ascii="Microsoft YaHei" w:eastAsia="Microsoft YaHei" w:hAnsi="Microsoft YaHei"/>
          <w:b/>
          <w:bCs/>
          <w:sz w:val="28"/>
          <w:szCs w:val="28"/>
        </w:rPr>
        <w:t xml:space="preserve">16、整改建议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1. 联系并核实涉事账号的实际使用人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2. 保全相关认证、数据库与网络日志，避免证据丢失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3. 核查异常公网通信的对端归属与通信内容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4. 核查敏感数据是否被导出及去向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5. 必要时按预案限制涉事账号与来源的访问</w:t>
      </w:r>
    </w:p>
    <w:p>
      <w:pPr>
        <w:spacing w:after="70" w:line="348" w:lineRule="auto"/>
        <w:ind w:left="220"/>
      </w:pPr>
      <w:r>
        <w:rPr>
          <w:rFonts w:ascii="SimSun" w:eastAsia="SimSun" w:hAnsi="SimSun"/>
          <w:sz w:val="22"/>
          <w:szCs w:val="22"/>
        </w:rPr>
        <w:t xml:space="preserve">6. 建议升级为安全事件，开展进一步调查</w:t>
      </w:r>
    </w:p>
    <w:sectPr>
      <w:pgSz w:w="11906" w:h="16838" w:orient="portrait"/>
      <w:pgMar w:top="1361" w:right="1417" w:bottom="1361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2026-08-09T16:28:10.709Z</dcterms:created>
  <dcterms:modified xsi:type="dcterms:W3CDTF">2026-08-09T16:28:10.709Z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