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18 juillet 2026 — Extraction : rendu narratif lisible</w:t>
      </w:r>
    </w:p>
    <w:p>
      <w:pPr>
        <w:pStyle w:val="Heading2"/>
      </w:pPr>
      <w:r>
        <w:t>En une phrase</w:t>
      </w:r>
    </w:p>
    <w:p>
      <w:pPr/>
      <w:r>
        <w:t>Quand le modele structure une dimension au lieu de rediger, on l affiche maintenant en texte propre au lieu de code Python brut.</w:t>
      </w:r>
    </w:p>
    <w:p>
      <w:pPr>
        <w:pStyle w:val="Heading2"/>
      </w:pPr>
      <w:r>
        <w:t>De quoi il s agit</w:t>
      </w:r>
    </w:p>
    <w:p>
      <w:pPr/>
      <w:r>
        <w:t>Avant, une dimension revenait parfois sous forme de dictionnaire aplati illisible (accolades, apostrophes). Un humaniseur recursif transforme ces objets en lignes cle deux points valeur et en listes a puces. Corrige a la fois le memo et l affichage web, qui lisent le meme champ.</w:t>
      </w:r>
    </w:p>
    <w:p>
      <w:pPr>
        <w:pStyle w:val="Heading2"/>
      </w:pPr>
      <w:r>
        <w:t>Verifie et fonctionnel</w:t>
      </w:r>
    </w:p>
    <w:p>
      <w:pPr/>
      <w:r>
        <w:t>86 tests passent, dont quatre nouveaux. Verifie sur le vrai deck Buffer : equipe, business model et traction s affichent proprement.</w:t>
      </w:r>
    </w:p>
    <w:p>
      <w:pPr>
        <w:pStyle w:val="Heading1"/>
      </w:pPr>
      <w:r>
        <w:t>18 juillet 2026 — Memo : forces et faiblesses honnetes</w:t>
      </w:r>
    </w:p>
    <w:p>
      <w:pPr>
        <w:pStyle w:val="Heading2"/>
      </w:pPr>
      <w:r>
        <w:t>En une phrase</w:t>
      </w:r>
    </w:p>
    <w:p>
      <w:pPr/>
      <w:r>
        <w:t>Une dimension a la note neutre ne remonte plus ni comme force ni comme faiblesse : seules les vraies preuves comptent.</w:t>
      </w:r>
    </w:p>
    <w:p>
      <w:pPr>
        <w:pStyle w:val="Heading2"/>
      </w:pPr>
      <w:r>
        <w:t>De quoi il s agit</w:t>
      </w:r>
    </w:p>
    <w:p>
      <w:pPr/>
      <w:r>
        <w:t>Avant, une dimension a 60 sur 100 (base neutre) pouvait apparaitre comme force et comme faiblesse, sans preuve reelle. Desormais une force exige un score superieur a 60 (vraie preuve positive) et une faiblesse un score inferieur a 60 (vraie penalite). Consequence : forces et faiblesses peuvent etre moins de trois, voire vides, ce qui est plus honnete.</w:t>
      </w:r>
    </w:p>
    <w:p>
      <w:pPr>
        <w:pStyle w:val="Heading2"/>
      </w:pPr>
      <w:r>
        <w:t>Verifie et fonctionnel</w:t>
      </w:r>
    </w:p>
    <w:p>
      <w:pPr/>
      <w:r>
        <w:t>82 tests passent. Deux tests mis a jour pour refleter le nouveau comportement correct.</w:t>
      </w:r>
    </w:p>
    <w:p>
      <w:pPr>
        <w:pStyle w:val="Heading1"/>
      </w:pPr>
      <w:r>
        <w:t>18 juillet 2026 — RAG : durcissement du seuil de pertinence</w:t>
      </w:r>
    </w:p>
    <w:p>
      <w:pPr>
        <w:pStyle w:val="Heading2"/>
      </w:pPr>
      <w:r>
        <w:t>En une phrase</w:t>
      </w:r>
    </w:p>
    <w:p>
      <w:pPr/>
      <w:r>
        <w:t>On ne cite plus une doctrine que si elle est vraiment proche du sujet, pour supprimer les citations hors sujet vues sur le deck Airbnb.</w:t>
      </w:r>
    </w:p>
    <w:p>
      <w:pPr>
        <w:pStyle w:val="Heading2"/>
      </w:pPr>
      <w:r>
        <w:t>De quoi il s agit</w:t>
      </w:r>
    </w:p>
    <w:p>
      <w:pPr/>
      <w:r>
        <w:t>Le plafond de distance des citations passe de 1,2 a 1,0. En dessous de 1,0 les matchs sont bons (0,7 a 0,95) ; au dela ils devenaient generiques. Mieux vaut aucune citation qu une mauvaise.</w:t>
      </w:r>
    </w:p>
    <w:p>
      <w:pPr>
        <w:pStyle w:val="Heading2"/>
      </w:pPr>
      <w:r>
        <w:t>Effet concret</w:t>
      </w:r>
    </w:p>
    <w:p>
      <w:pPr/>
      <w:r>
        <w:t>Six dimensions gardent des citations pertinentes (equipe, traction, concurrence, go to market, financials, ask). Quatre n en ont plus (marche, business model, probleme, solution) car le corpus n a pas de passage assez proche : c est volontaire, on preferera enrichir le corpus plus tard.</w:t>
      </w:r>
    </w:p>
    <w:p>
      <w:pPr>
        <w:pStyle w:val="Heading2"/>
      </w:pPr>
      <w:r>
        <w:t>Verifie et fonctionnel</w:t>
      </w:r>
    </w:p>
    <w:p>
      <w:pPr/>
      <w:r>
        <w:t>82 tests passent. Comparatif lance sur le vrai index confirmant le tri.</w:t>
      </w:r>
    </w:p>
    <w:p>
      <w:pPr>
        <w:pStyle w:val="Heading1"/>
      </w:pPr>
      <w:r>
        <w:t>18 juillet 2026 — Test reel (Airbnb) : correctif d extraction</w:t>
      </w:r>
    </w:p>
    <w:p>
      <w:pPr>
        <w:pStyle w:val="Heading2"/>
      </w:pPr>
      <w:r>
        <w:t>En une phrase</w:t>
      </w:r>
    </w:p>
    <w:p>
      <w:pPr/>
      <w:r>
        <w:t>Premier test sur un vrai deck (Airbnb 2008) : l analyse plantait a cause d une valeur null renvoyee par le modele ; corrige.</w:t>
      </w:r>
    </w:p>
    <w:p>
      <w:pPr>
        <w:pStyle w:val="Heading2"/>
      </w:pPr>
      <w:r>
        <w:t>De quoi il s agit</w:t>
      </w:r>
    </w:p>
    <w:p>
      <w:pPr/>
      <w:r>
        <w:t>Le modele renvoyait parfois un numero de slide a null, ou une liste de preferences a null. Nos types stricts refusaient ces valeurs et faisaient echouer toute l analyse. On nettoie maintenant ces champs a l entree : on garde les slides exploitables, on ignore le reste, sans planter.</w:t>
      </w:r>
    </w:p>
    <w:p>
      <w:pPr>
        <w:pStyle w:val="Heading2"/>
      </w:pPr>
      <w:r>
        <w:t>Verifie et fonctionnel</w:t>
      </w:r>
    </w:p>
    <w:p>
      <w:pPr/>
      <w:r>
        <w:t>82 tests passent, dont deux nouveaux sur la tolerance aux valeurs null. Le deck Airbnb s analyse desormais de bout en bout : nom, round, montant et dimensions correctement extraits.</w:t>
      </w:r>
    </w:p>
    <w:p>
      <w:pPr>
        <w:pStyle w:val="Heading1"/>
      </w:pPr>
      <w:r>
        <w:t>18 juillet 2026 — App : robustesse de l appel Mistral (rate limit)</w:t>
      </w:r>
    </w:p>
    <w:p>
      <w:pPr>
        <w:pStyle w:val="Heading2"/>
      </w:pPr>
      <w:r>
        <w:t>En une phrase</w:t>
      </w:r>
    </w:p>
    <w:p>
      <w:pPr/>
      <w:r>
        <w:t>L analyse ne plante plus au premier depassement de quota : elle patiente et reessaie automatiquement.</w:t>
      </w:r>
    </w:p>
    <w:p>
      <w:pPr>
        <w:pStyle w:val="Heading2"/>
      </w:pPr>
      <w:r>
        <w:t>De quoi il s agit</w:t>
      </w:r>
    </w:p>
    <w:p>
      <w:pPr/>
      <w:r>
        <w:t>Le tier gratuit de Mistral limite a environ deux requetes par minute. Avant, un depassement faisait echouer toute l analyse. Desormais, on reessaie apres une attente croissante (vingt, quarante, soixante secondes), et seulement sur les erreurs transitoires. Une vraie erreur, comme une cle invalide, remonte tout de suite.</w:t>
      </w:r>
    </w:p>
    <w:p>
      <w:pPr>
        <w:pStyle w:val="Heading2"/>
      </w:pPr>
      <w:r>
        <w:t>A noter</w:t>
      </w:r>
    </w:p>
    <w:p>
      <w:pPr/>
      <w:r>
        <w:t>L analyse faisait deja un seul appel groupant les slides, donc le probleme d un appel par slide n existait pas. Le manque etait uniquement la resistance au rate limit.</w:t>
      </w:r>
    </w:p>
    <w:p>
      <w:pPr>
        <w:pStyle w:val="Heading2"/>
      </w:pPr>
      <w:r>
        <w:t>Verifie et fonctionnel</w:t>
      </w:r>
    </w:p>
    <w:p>
      <w:pPr/>
      <w:r>
        <w:t>80 tests passent, dont quatre nouveaux simulant des depassements de quota sans appeler l API ni attendre reellement.</w:t>
      </w:r>
    </w:p>
    <w:p>
      <w:pPr>
        <w:pStyle w:val="Heading1"/>
      </w:pPr>
      <w:r>
        <w:t>18 juillet 2026 — App : interface Streamlit complete (memo + telechargements)</w:t>
      </w:r>
    </w:p>
    <w:p>
      <w:pPr>
        <w:pStyle w:val="Heading2"/>
      </w:pPr>
      <w:r>
        <w:t>En une phrase</w:t>
      </w:r>
    </w:p>
    <w:p>
      <w:pPr/>
      <w:r>
        <w:t>L interface web genere maintenant le memo VC complet et permet de le telecharger en Markdown et en Word.</w:t>
      </w:r>
    </w:p>
    <w:p>
      <w:pPr>
        <w:pStyle w:val="Heading2"/>
      </w:pPr>
      <w:r>
        <w:t>De quoi il s agit</w:t>
      </w:r>
    </w:p>
    <w:p>
      <w:pPr/>
      <w:r>
        <w:t>Avant, l interface s arretait au score et aux red flags. Elle assemble desormais le memo entier (verdict, dimensions, doctrine) et propose deux boutons de telechargement. Le scoring recoit le montant leve, donc l alerte de dilution fonctionne aussi dans l interface.</w:t>
      </w:r>
    </w:p>
    <w:p>
      <w:pPr>
        <w:pStyle w:val="Heading2"/>
      </w:pPr>
      <w:r>
        <w:t>Ce qui a change concretement</w:t>
      </w:r>
    </w:p>
    <w:p>
      <w:pPr/>
      <w:r>
        <w:t>Nouvelle fonction qui rend le Word en memoire (octets) pour un telechargement direct, sans ecrire sur le disque. La page web ajoute une section memo avec un bouton generer, un apercu, et les telechargements md et docx.</w:t>
      </w:r>
    </w:p>
    <w:p>
      <w:pPr>
        <w:pStyle w:val="Heading2"/>
      </w:pPr>
      <w:r>
        <w:t>Verifie et fonctionnel</w:t>
      </w:r>
    </w:p>
    <w:p>
      <w:pPr/>
      <w:r>
        <w:t>76 tests passent, dont un nouveau verifiant que le Word en octets est un fichier valide. Le chemin de generation du memo a ete teste hors interface.</w:t>
      </w:r>
    </w:p>
    <w:p>
      <w:pPr>
        <w:pStyle w:val="Heading2"/>
      </w:pPr>
      <w:r>
        <w:t>Reste a faire</w:t>
      </w:r>
    </w:p>
    <w:p>
      <w:pPr/>
      <w:r>
        <w:t>Tester l interface sur de vrais decks avec la cle Mistral, et rendre l appel au modele plus robuste face aux limites de debit.</w:t>
      </w:r>
    </w:p>
    <w:p>
      <w:pPr>
        <w:pStyle w:val="Heading1"/>
      </w:pPr>
      <w:r>
        <w:t>16 juillet 2026 — Dette : tracabilite slide (partielle) au tableau de bord</w:t>
      </w:r>
    </w:p>
    <w:p>
      <w:pPr>
        <w:pStyle w:val="Heading2"/>
      </w:pPr>
      <w:r>
        <w:t>En une phrase</w:t>
      </w:r>
    </w:p>
    <w:p>
      <w:pPr/>
      <w:r>
        <w:t>Le tableau de bord indique desormais, quand c est possible, de quelle slide vient chaque chiffre.</w:t>
      </w:r>
    </w:p>
    <w:p>
      <w:pPr>
        <w:pStyle w:val="Heading2"/>
      </w:pPr>
      <w:r>
        <w:t>De quoi il s agit</w:t>
      </w:r>
    </w:p>
    <w:p>
      <w:pPr/>
      <w:r>
        <w:t>On demande au modele d associer chaque signal chiffre au numero de slide d ou il provient. Une nouvelle colonne Source apparait dans le tableau de bord du memo. C est au mieux : si le modele n est pas sur, la source reste vide.</w:t>
      </w:r>
    </w:p>
    <w:p>
      <w:pPr>
        <w:pStyle w:val="Heading2"/>
      </w:pPr>
      <w:r>
        <w:t>Perimetre et limite</w:t>
      </w:r>
    </w:p>
    <w:p>
      <w:pPr/>
      <w:r>
        <w:t>La tracabilite couvre les chiffres du tableau de bord, la ou la question de la source compte le plus. Les dimensions narratives ne sont pas encore tracees : une tracabilite complete demanderait de restructurer chaque donnee, ce qui reste un chantier a part.</w:t>
      </w:r>
    </w:p>
    <w:p>
      <w:pPr>
        <w:pStyle w:val="Heading2"/>
      </w:pPr>
      <w:r>
        <w:t>Verifie et fonctionnel</w:t>
      </w:r>
    </w:p>
    <w:p>
      <w:pPr/>
      <w:r>
        <w:t>75 tests passent. Le golden test de reference a ete regenere pour inclure la colonne Source, avec un diff verifie ne touchant que cette colonne.</w:t>
      </w:r>
    </w:p>
    <w:p>
      <w:pPr>
        <w:pStyle w:val="Heading1"/>
      </w:pPr>
      <w:r>
        <w:t>16 juillet 2026 — Dette : nom de societe dans l en-tete du memo</w:t>
      </w:r>
    </w:p>
    <w:p>
      <w:pPr>
        <w:pStyle w:val="Heading2"/>
      </w:pPr>
      <w:r>
        <w:t>En une phrase</w:t>
      </w:r>
    </w:p>
    <w:p>
      <w:pPr/>
      <w:r>
        <w:t>Le memo affiche desormais le vrai nom de la societe extrait du deck, au lieu d un nom generique de repli.</w:t>
      </w:r>
    </w:p>
    <w:p>
      <w:pPr>
        <w:pStyle w:val="Heading2"/>
      </w:pPr>
      <w:r>
        <w:t>Ce qui a change concretement</w:t>
      </w:r>
    </w:p>
    <w:p>
      <w:pPr/>
      <w:r>
        <w:t>Un champ nom de societe a ete ajoute aux donnees extraites et au prompt. Le memo l utilise en priorite ; s il est introuvable, on retombe sur le nom de repli de la configuration.</w:t>
      </w:r>
    </w:p>
    <w:p>
      <w:pPr>
        <w:pStyle w:val="Heading2"/>
      </w:pPr>
      <w:r>
        <w:t>Verifie et fonctionnel</w:t>
      </w:r>
    </w:p>
    <w:p>
      <w:pPr/>
      <w:r>
        <w:t>74 tests passent, dont un nouveau verifiant le nom extrait puis le repli.</w:t>
      </w:r>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