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7994" w14:textId="77777777" w:rsidR="007A63DA" w:rsidRDefault="00000000">
      <w:pPr>
        <w:jc w:val="center"/>
      </w:pPr>
      <w:r>
        <w:rPr>
          <w:b/>
          <w:bCs/>
          <w:sz w:val="36"/>
          <w:szCs w:val="36"/>
        </w:rPr>
        <w:t>Business Insights – Sales Performance &amp; BI Dashboard</w:t>
      </w:r>
    </w:p>
    <w:p w14:paraId="20277996" w14:textId="77777777" w:rsidR="007A63DA" w:rsidRPr="00001CA2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CA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Executive Summary</w:t>
      </w:r>
    </w:p>
    <w:p w14:paraId="20277997" w14:textId="77777777" w:rsidR="007A63DA" w:rsidRDefault="00000000">
      <w:r>
        <w:t>The combined sales data contains 10,889 transactions from 2021-01-01 to 2023-03-15. Total revenue is ₹25,661,209, gross profit is ₹8,343,893, and gross margin is 32.5%. There are 10,889 distinct orders and 21,078 units sold, with an average order value of ₹2,357.</w:t>
      </w:r>
    </w:p>
    <w:p w14:paraId="20277998" w14:textId="77777777" w:rsidR="007A63DA" w:rsidRPr="00001CA2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CA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Top 5 Findings</w:t>
      </w:r>
    </w:p>
    <w:p w14:paraId="20277999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Revenue is concentrated in a relatively small set of products: Product 63 is the highest-revenue product at ₹628,320; Product 28 is second at ₹604,274.</w:t>
      </w:r>
    </w:p>
    <w:p w14:paraId="2027799A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Profitability varies materially by product. Product 41 has about 50.0% margin, while Product 4 has only 15.0% among products with more than ₹100,000 sales.</w:t>
      </w:r>
    </w:p>
    <w:p w14:paraId="2027799B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2022 full-year revenue was ₹11,565,545, about 1.07% lower than 2021. 2023 is partial, ending on 15-Mar-2023, so its ₹2,404,901 cannot be treated as a full-year result.</w:t>
      </w:r>
    </w:p>
    <w:p w14:paraId="2027799C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top 10 customers contribute only 2.55% of total revenue, indicating that revenue is broadly distributed across the customer base rather than dominated by a few accounts.</w:t>
      </w:r>
    </w:p>
    <w:p w14:paraId="2027799D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California is the only state represented in the Locations table and therefore in the sales geography. Rialto is the highest-revenue location at ₹465,604; the geographic dashboard should be presented as California/location analysis rather than a nationwide comparison.</w:t>
      </w:r>
    </w:p>
    <w:p w14:paraId="2027799E" w14:textId="77777777" w:rsidR="007A63DA" w:rsidRDefault="00000000">
      <w:pPr>
        <w:pStyle w:val="Heading1"/>
      </w:pPr>
      <w:r w:rsidRPr="00001CA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Top 5 Business Problems Identified</w:t>
      </w:r>
    </w:p>
    <w:p w14:paraId="2027799F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Budget data is embedded in one sheet in two logical structures: location budgets and 12 monthly allocation percentages. It requires transformation before reliable analysis.</w:t>
      </w:r>
    </w:p>
    <w:p w14:paraId="202779A0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Budgeting contains 97 location IDs, but 23 have no matching row in the Locations dimension. Those records cannot be mapped to population/state attributes without additional master data.</w:t>
      </w:r>
    </w:p>
    <w:p w14:paraId="202779A1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2023 sales are incomplete, ending on 15-Mar-2023. Full-year 2023 comparisons would be misleading.</w:t>
      </w:r>
    </w:p>
    <w:p w14:paraId="202779A2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Q1 2023 revenue is ₹2,404,901, which is 15.37% below Q1 2022. This needs monitoring, but it should not be interpreted as a full-year decline.</w:t>
      </w:r>
    </w:p>
    <w:p w14:paraId="202779A3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Several products combine meaningful sales with comparatively low margins, creating a pricing/cost-optimization opportunity.</w:t>
      </w:r>
    </w:p>
    <w:p w14:paraId="202779A4" w14:textId="77777777" w:rsidR="007A63DA" w:rsidRPr="00001CA2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CA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Top 5 Recommendations</w:t>
      </w:r>
    </w:p>
    <w:p w14:paraId="202779A5" w14:textId="77777777" w:rsidR="007A6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Review pricing, discounting and product cost for low-margin products, beginning with Product 4 and other high-sales/low-margin items.</w:t>
      </w:r>
    </w:p>
    <w:p w14:paraId="202779A6" w14:textId="77777777" w:rsidR="007A6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Investigate the Q1 2023 sales slowdown against Q1 2022 by product, customer, salesperson and location to identify the specific drivers.</w:t>
      </w:r>
    </w:p>
    <w:p w14:paraId="202779A7" w14:textId="77777777" w:rsidR="007A6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Validate and recalibrate the budget model with the business owner; confirm whether Revenue is an annual location target and whether the allocation percentages are intended to distribute it by month.</w:t>
      </w:r>
    </w:p>
    <w:p w14:paraId="202779A8" w14:textId="77777777" w:rsidR="007A6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Complete the location master for the 23 Budgeting IDs missing from Locations before presenting state/population comparisons as complete.</w:t>
      </w:r>
    </w:p>
    <w:p w14:paraId="202779A9" w14:textId="77777777" w:rsidR="007A6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Use the interactive dashboard regularly with Year/Month/Location/Product/Customer/Salesperson slicers and drill-through pages so managers can move from KPI-level signals to the underlying business segment.</w:t>
      </w:r>
    </w:p>
    <w:p w14:paraId="202779AA" w14:textId="77777777" w:rsidR="007A63DA" w:rsidRPr="00001CA2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CA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Management Questions – Answers Supported by the Dataset</w:t>
      </w:r>
    </w:p>
    <w:tbl>
      <w:tblPr>
        <w:tblStyle w:val="a"/>
        <w:tblW w:w="102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7A63DA" w14:paraId="202779AD" w14:textId="77777777">
        <w:tc>
          <w:tcPr>
            <w:tcW w:w="5112" w:type="dxa"/>
          </w:tcPr>
          <w:p w14:paraId="202779AB" w14:textId="77777777" w:rsidR="007A63DA" w:rsidRDefault="00000000">
            <w:r>
              <w:t>Question</w:t>
            </w:r>
          </w:p>
        </w:tc>
        <w:tc>
          <w:tcPr>
            <w:tcW w:w="5112" w:type="dxa"/>
          </w:tcPr>
          <w:p w14:paraId="202779AC" w14:textId="77777777" w:rsidR="007A63DA" w:rsidRDefault="00000000">
            <w:r>
              <w:t>Answer</w:t>
            </w:r>
          </w:p>
        </w:tc>
      </w:tr>
      <w:tr w:rsidR="007A63DA" w14:paraId="202779B0" w14:textId="77777777">
        <w:tc>
          <w:tcPr>
            <w:tcW w:w="5112" w:type="dxa"/>
          </w:tcPr>
          <w:p w14:paraId="202779AE" w14:textId="77777777" w:rsidR="007A63DA" w:rsidRDefault="00000000">
            <w:r>
              <w:t>Total revenue</w:t>
            </w:r>
          </w:p>
        </w:tc>
        <w:tc>
          <w:tcPr>
            <w:tcW w:w="5112" w:type="dxa"/>
          </w:tcPr>
          <w:p w14:paraId="202779AF" w14:textId="77777777" w:rsidR="007A63DA" w:rsidRDefault="00000000">
            <w:r>
              <w:t>₹25,661,209.</w:t>
            </w:r>
          </w:p>
        </w:tc>
      </w:tr>
      <w:tr w:rsidR="007A63DA" w14:paraId="202779B3" w14:textId="77777777">
        <w:tc>
          <w:tcPr>
            <w:tcW w:w="5112" w:type="dxa"/>
          </w:tcPr>
          <w:p w14:paraId="202779B1" w14:textId="77777777" w:rsidR="007A63DA" w:rsidRDefault="00000000">
            <w:r>
              <w:t>Total profit</w:t>
            </w:r>
          </w:p>
        </w:tc>
        <w:tc>
          <w:tcPr>
            <w:tcW w:w="5112" w:type="dxa"/>
          </w:tcPr>
          <w:p w14:paraId="202779B2" w14:textId="77777777" w:rsidR="007A63DA" w:rsidRDefault="00000000">
            <w:r>
              <w:t>₹8,343,893.</w:t>
            </w:r>
          </w:p>
        </w:tc>
      </w:tr>
      <w:tr w:rsidR="007A63DA" w14:paraId="202779B6" w14:textId="77777777">
        <w:tc>
          <w:tcPr>
            <w:tcW w:w="5112" w:type="dxa"/>
          </w:tcPr>
          <w:p w14:paraId="202779B4" w14:textId="77777777" w:rsidR="007A63DA" w:rsidRDefault="00000000">
            <w:r>
              <w:t>Overall profit margin</w:t>
            </w:r>
          </w:p>
        </w:tc>
        <w:tc>
          <w:tcPr>
            <w:tcW w:w="5112" w:type="dxa"/>
          </w:tcPr>
          <w:p w14:paraId="202779B5" w14:textId="77777777" w:rsidR="007A63DA" w:rsidRDefault="00000000">
            <w:r>
              <w:t>32.52%.</w:t>
            </w:r>
          </w:p>
        </w:tc>
      </w:tr>
      <w:tr w:rsidR="007A63DA" w14:paraId="202779B9" w14:textId="77777777">
        <w:tc>
          <w:tcPr>
            <w:tcW w:w="5112" w:type="dxa"/>
          </w:tcPr>
          <w:p w14:paraId="202779B7" w14:textId="77777777" w:rsidR="007A63DA" w:rsidRDefault="00000000">
            <w:r>
              <w:t>Year-over-year revenue</w:t>
            </w:r>
          </w:p>
        </w:tc>
        <w:tc>
          <w:tcPr>
            <w:tcW w:w="5112" w:type="dxa"/>
          </w:tcPr>
          <w:p w14:paraId="202779B8" w14:textId="77777777" w:rsidR="007A63DA" w:rsidRDefault="00000000">
            <w:r>
              <w:t>2022 vs 2021: -1.07%. Q1 2023 vs Q1 2022: -15.37%; 2023 is partial.</w:t>
            </w:r>
          </w:p>
        </w:tc>
      </w:tr>
      <w:tr w:rsidR="007A63DA" w14:paraId="202779BC" w14:textId="77777777">
        <w:tc>
          <w:tcPr>
            <w:tcW w:w="5112" w:type="dxa"/>
          </w:tcPr>
          <w:p w14:paraId="202779BA" w14:textId="77777777" w:rsidR="007A63DA" w:rsidRDefault="00000000">
            <w:r>
              <w:t>Best-revenue year in the supplied data</w:t>
            </w:r>
          </w:p>
        </w:tc>
        <w:tc>
          <w:tcPr>
            <w:tcW w:w="5112" w:type="dxa"/>
          </w:tcPr>
          <w:p w14:paraId="202779BB" w14:textId="77777777" w:rsidR="007A63DA" w:rsidRDefault="00000000">
            <w:r>
              <w:t>2021 has ₹11,690,763; 2022 has ₹11,565,545; 2023 is partial.</w:t>
            </w:r>
          </w:p>
        </w:tc>
      </w:tr>
      <w:tr w:rsidR="007A63DA" w14:paraId="202779BF" w14:textId="77777777">
        <w:tc>
          <w:tcPr>
            <w:tcW w:w="5112" w:type="dxa"/>
          </w:tcPr>
          <w:p w14:paraId="202779BD" w14:textId="77777777" w:rsidR="007A63DA" w:rsidRDefault="00000000">
            <w:r>
              <w:t>Top 10 products by revenue</w:t>
            </w:r>
          </w:p>
        </w:tc>
        <w:tc>
          <w:tcPr>
            <w:tcW w:w="5112" w:type="dxa"/>
          </w:tcPr>
          <w:p w14:paraId="202779BE" w14:textId="77777777" w:rsidR="007A63DA" w:rsidRDefault="00000000">
            <w:r>
              <w:t>Product 63, Product 28, Product 47, Product 29, Product 84, Product 59, Product 56, Product 66, Product 33, Product 81</w:t>
            </w:r>
          </w:p>
        </w:tc>
      </w:tr>
      <w:tr w:rsidR="007A63DA" w14:paraId="202779C2" w14:textId="77777777">
        <w:tc>
          <w:tcPr>
            <w:tcW w:w="5112" w:type="dxa"/>
          </w:tcPr>
          <w:p w14:paraId="202779C0" w14:textId="77777777" w:rsidR="007A63DA" w:rsidRDefault="00000000">
            <w:r>
              <w:t>Top 10 products by profit</w:t>
            </w:r>
          </w:p>
        </w:tc>
        <w:tc>
          <w:tcPr>
            <w:tcW w:w="5112" w:type="dxa"/>
          </w:tcPr>
          <w:p w14:paraId="202779C1" w14:textId="77777777" w:rsidR="007A63DA" w:rsidRDefault="00000000">
            <w:r>
              <w:t>Product 28, Product 41, Product 79, Product 47, Product 64, Product 51, Product 31, Product 29, Product 34, Product 96</w:t>
            </w:r>
          </w:p>
        </w:tc>
      </w:tr>
      <w:tr w:rsidR="007A63DA" w14:paraId="202779C5" w14:textId="77777777">
        <w:tc>
          <w:tcPr>
            <w:tcW w:w="5112" w:type="dxa"/>
          </w:tcPr>
          <w:p w14:paraId="202779C3" w14:textId="77777777" w:rsidR="007A63DA" w:rsidRDefault="00000000">
            <w:r>
              <w:t>High-sales/low-margin example</w:t>
            </w:r>
          </w:p>
        </w:tc>
        <w:tc>
          <w:tcPr>
            <w:tcW w:w="5112" w:type="dxa"/>
          </w:tcPr>
          <w:p w14:paraId="202779C4" w14:textId="77777777" w:rsidR="007A63DA" w:rsidRDefault="00000000">
            <w:r>
              <w:t>Product 4 has ₹417,222 sales and 14.97% margin.</w:t>
            </w:r>
          </w:p>
        </w:tc>
      </w:tr>
      <w:tr w:rsidR="007A63DA" w14:paraId="202779C8" w14:textId="77777777">
        <w:tc>
          <w:tcPr>
            <w:tcW w:w="5112" w:type="dxa"/>
          </w:tcPr>
          <w:p w14:paraId="202779C6" w14:textId="77777777" w:rsidR="007A63DA" w:rsidRDefault="00000000">
            <w:r>
              <w:t>Top 10 customers</w:t>
            </w:r>
          </w:p>
        </w:tc>
        <w:tc>
          <w:tcPr>
            <w:tcW w:w="5112" w:type="dxa"/>
          </w:tcPr>
          <w:p w14:paraId="202779C7" w14:textId="77777777" w:rsidR="007A63DA" w:rsidRDefault="00000000">
            <w:r>
              <w:t>Mark Morales, Jesse Hill, Craig Reyes, Fred Russell, Jeremy Arnold, Victor Gray, Andrew Adams, Russell Boyd, Jeffrey Sanders, William Medina</w:t>
            </w:r>
          </w:p>
        </w:tc>
      </w:tr>
      <w:tr w:rsidR="007A63DA" w14:paraId="202779CB" w14:textId="77777777">
        <w:tc>
          <w:tcPr>
            <w:tcW w:w="5112" w:type="dxa"/>
          </w:tcPr>
          <w:p w14:paraId="202779C9" w14:textId="77777777" w:rsidR="007A63DA" w:rsidRDefault="00000000">
            <w:r>
              <w:t>Top-10 customer revenue contribution</w:t>
            </w:r>
          </w:p>
        </w:tc>
        <w:tc>
          <w:tcPr>
            <w:tcW w:w="5112" w:type="dxa"/>
          </w:tcPr>
          <w:p w14:paraId="202779CA" w14:textId="77777777" w:rsidR="007A63DA" w:rsidRDefault="00000000">
            <w:r>
              <w:t>2.55%.</w:t>
            </w:r>
          </w:p>
        </w:tc>
      </w:tr>
      <w:tr w:rsidR="007A63DA" w14:paraId="202779CE" w14:textId="77777777">
        <w:tc>
          <w:tcPr>
            <w:tcW w:w="5112" w:type="dxa"/>
          </w:tcPr>
          <w:p w14:paraId="202779CC" w14:textId="77777777" w:rsidR="007A63DA" w:rsidRDefault="00000000">
            <w:r>
              <w:t>Highest-sales salesperson</w:t>
            </w:r>
          </w:p>
        </w:tc>
        <w:tc>
          <w:tcPr>
            <w:tcW w:w="5112" w:type="dxa"/>
          </w:tcPr>
          <w:p w14:paraId="202779CD" w14:textId="77777777" w:rsidR="007A63DA" w:rsidRDefault="00000000">
            <w:r>
              <w:t>Kenneth Bradley with ₹678,815 sales.</w:t>
            </w:r>
          </w:p>
        </w:tc>
      </w:tr>
      <w:tr w:rsidR="007A63DA" w14:paraId="202779D1" w14:textId="77777777">
        <w:tc>
          <w:tcPr>
            <w:tcW w:w="5112" w:type="dxa"/>
          </w:tcPr>
          <w:p w14:paraId="202779CF" w14:textId="77777777" w:rsidR="007A63DA" w:rsidRDefault="00000000">
            <w:r>
              <w:t>Highest-profit salesperson</w:t>
            </w:r>
          </w:p>
        </w:tc>
        <w:tc>
          <w:tcPr>
            <w:tcW w:w="5112" w:type="dxa"/>
          </w:tcPr>
          <w:p w14:paraId="202779D0" w14:textId="77777777" w:rsidR="007A63DA" w:rsidRDefault="00000000">
            <w:r>
              <w:t>Kenneth Bradley with ₹227,309 profit.</w:t>
            </w:r>
          </w:p>
        </w:tc>
      </w:tr>
      <w:tr w:rsidR="007A63DA" w14:paraId="202779D4" w14:textId="77777777">
        <w:tc>
          <w:tcPr>
            <w:tcW w:w="5112" w:type="dxa"/>
          </w:tcPr>
          <w:p w14:paraId="202779D2" w14:textId="77777777" w:rsidR="007A63DA" w:rsidRDefault="00000000">
            <w:r>
              <w:t>Highest order-volume salesperson</w:t>
            </w:r>
          </w:p>
        </w:tc>
        <w:tc>
          <w:tcPr>
            <w:tcW w:w="5112" w:type="dxa"/>
          </w:tcPr>
          <w:p w14:paraId="202779D3" w14:textId="77777777" w:rsidR="007A63DA" w:rsidRDefault="00000000">
            <w:r>
              <w:t>Ryan Welch with 273 orders.</w:t>
            </w:r>
          </w:p>
        </w:tc>
      </w:tr>
      <w:tr w:rsidR="007A63DA" w14:paraId="202779D7" w14:textId="77777777">
        <w:tc>
          <w:tcPr>
            <w:tcW w:w="5112" w:type="dxa"/>
          </w:tcPr>
          <w:p w14:paraId="202779D5" w14:textId="77777777" w:rsidR="007A63DA" w:rsidRDefault="00000000">
            <w:r>
              <w:t>Highest-revenue state</w:t>
            </w:r>
          </w:p>
        </w:tc>
        <w:tc>
          <w:tcPr>
            <w:tcW w:w="5112" w:type="dxa"/>
          </w:tcPr>
          <w:p w14:paraId="202779D6" w14:textId="77777777" w:rsidR="007A63DA" w:rsidRDefault="00000000">
            <w:r>
              <w:t>California, the only state represented in the Locations dimension.</w:t>
            </w:r>
          </w:p>
        </w:tc>
      </w:tr>
      <w:tr w:rsidR="007A63DA" w14:paraId="202779DA" w14:textId="77777777">
        <w:tc>
          <w:tcPr>
            <w:tcW w:w="5112" w:type="dxa"/>
          </w:tcPr>
          <w:p w14:paraId="202779D8" w14:textId="77777777" w:rsidR="007A63DA" w:rsidRDefault="00000000">
            <w:r>
              <w:t>Top location by revenue</w:t>
            </w:r>
          </w:p>
        </w:tc>
        <w:tc>
          <w:tcPr>
            <w:tcW w:w="5112" w:type="dxa"/>
          </w:tcPr>
          <w:p w14:paraId="202779D9" w14:textId="77777777" w:rsidR="007A63DA" w:rsidRDefault="00000000">
            <w:r>
              <w:t>Rialto with ₹465,604.</w:t>
            </w:r>
          </w:p>
        </w:tc>
      </w:tr>
      <w:tr w:rsidR="007A63DA" w14:paraId="202779DD" w14:textId="77777777">
        <w:tc>
          <w:tcPr>
            <w:tcW w:w="5112" w:type="dxa"/>
          </w:tcPr>
          <w:p w14:paraId="202779DB" w14:textId="77777777" w:rsidR="007A63DA" w:rsidRDefault="00000000">
            <w:r>
              <w:t>Population vs sales</w:t>
            </w:r>
          </w:p>
        </w:tc>
        <w:tc>
          <w:tcPr>
            <w:tcW w:w="5112" w:type="dxa"/>
          </w:tcPr>
          <w:p w14:paraId="202779DC" w14:textId="77777777" w:rsidR="007A63DA" w:rsidRDefault="00000000">
            <w:r>
              <w:t>Sales per population is lowest for Los Angeles among the listed locations, so population alone does not explain sales concentration.</w:t>
            </w:r>
          </w:p>
        </w:tc>
      </w:tr>
      <w:tr w:rsidR="007A63DA" w14:paraId="202779E0" w14:textId="77777777">
        <w:tc>
          <w:tcPr>
            <w:tcW w:w="5112" w:type="dxa"/>
          </w:tcPr>
          <w:p w14:paraId="202779DE" w14:textId="77777777" w:rsidR="007A63DA" w:rsidRDefault="00000000">
            <w:r>
              <w:t>Budget achievement – Q1 2023</w:t>
            </w:r>
          </w:p>
        </w:tc>
        <w:tc>
          <w:tcPr>
            <w:tcW w:w="5112" w:type="dxa"/>
          </w:tcPr>
          <w:p w14:paraId="202779DF" w14:textId="77777777" w:rsidR="007A63DA" w:rsidRDefault="00000000">
            <w:r>
              <w:t>Using the cleaned monthly allocation logic and only the 74 location IDs that match the Locations table, Q1 2023 actual sales are ₹2,404,901 versus ₹577,638 budget, or 416.33% achievement.</w:t>
            </w:r>
          </w:p>
        </w:tc>
      </w:tr>
      <w:tr w:rsidR="007A63DA" w14:paraId="202779E3" w14:textId="77777777">
        <w:tc>
          <w:tcPr>
            <w:tcW w:w="5112" w:type="dxa"/>
          </w:tcPr>
          <w:p w14:paraId="202779E1" w14:textId="77777777" w:rsidR="007A63DA" w:rsidRDefault="00000000">
            <w:r>
              <w:t>Budget locations missing master data</w:t>
            </w:r>
          </w:p>
        </w:tc>
        <w:tc>
          <w:tcPr>
            <w:tcW w:w="5112" w:type="dxa"/>
          </w:tcPr>
          <w:p w14:paraId="202779E2" w14:textId="77777777" w:rsidR="007A63DA" w:rsidRDefault="00000000">
            <w:r>
              <w:t>23 Budgeting location IDs do not match Locations and should be excluded from geographic attribute analysis until master data is supplied.</w:t>
            </w:r>
          </w:p>
        </w:tc>
      </w:tr>
    </w:tbl>
    <w:p w14:paraId="202779E4" w14:textId="77777777" w:rsidR="007A63DA" w:rsidRPr="00001CA2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CA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Data Preparation &amp; Modeling Notes</w:t>
      </w:r>
    </w:p>
    <w:p w14:paraId="202779E5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Append 2021 Sales, 2022 Sales and 2023 Sales into </w:t>
      </w:r>
      <w:proofErr w:type="spellStart"/>
      <w:r>
        <w:rPr>
          <w:color w:val="000000"/>
        </w:rPr>
        <w:t>Fact_Sales</w:t>
      </w:r>
      <w:proofErr w:type="spellEnd"/>
      <w:r>
        <w:rPr>
          <w:color w:val="000000"/>
        </w:rPr>
        <w:t>.</w:t>
      </w:r>
    </w:p>
    <w:p w14:paraId="202779E6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Revenue calculated column: Quantity × Price.</w:t>
      </w:r>
    </w:p>
    <w:p w14:paraId="202779E7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Cost Amount calculated column: Quantity × Product Cost.</w:t>
      </w:r>
    </w:p>
    <w:p w14:paraId="202779E8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Gross Profit calculated column: Revenue − Cost Amount.</w:t>
      </w:r>
    </w:p>
    <w:p w14:paraId="202779E9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 a star schema: </w:t>
      </w:r>
      <w:proofErr w:type="spellStart"/>
      <w:r>
        <w:rPr>
          <w:color w:val="000000"/>
        </w:rPr>
        <w:t>Dim_Product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Dim_Location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Dim_Customer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Dim_Salesperson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Dim_Date</w:t>
      </w:r>
      <w:proofErr w:type="spellEnd"/>
      <w:r>
        <w:rPr>
          <w:color w:val="000000"/>
        </w:rPr>
        <w:t xml:space="preserve"> filter </w:t>
      </w:r>
      <w:proofErr w:type="spellStart"/>
      <w:r>
        <w:rPr>
          <w:color w:val="000000"/>
        </w:rPr>
        <w:t>Fact_Sales</w:t>
      </w:r>
      <w:proofErr w:type="spellEnd"/>
      <w:r>
        <w:rPr>
          <w:color w:val="000000"/>
        </w:rPr>
        <w:t>.</w:t>
      </w:r>
    </w:p>
    <w:p w14:paraId="202779EA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Use a proper </w:t>
      </w:r>
      <w:proofErr w:type="spellStart"/>
      <w:r>
        <w:rPr>
          <w:color w:val="000000"/>
        </w:rPr>
        <w:t>Dim_Date</w:t>
      </w:r>
      <w:proofErr w:type="spellEnd"/>
      <w:r>
        <w:rPr>
          <w:color w:val="000000"/>
        </w:rPr>
        <w:t xml:space="preserve"> from 2021-01-01 through 2023-03-15, with Year, Quarter, Month, Month Number, Month Name, Week, Day and Year-Month. Sort Month Name by Month Number and mark </w:t>
      </w:r>
      <w:proofErr w:type="spellStart"/>
      <w:r>
        <w:rPr>
          <w:color w:val="000000"/>
        </w:rPr>
        <w:t>Dim_Date</w:t>
      </w:r>
      <w:proofErr w:type="spellEnd"/>
      <w:r>
        <w:rPr>
          <w:color w:val="000000"/>
        </w:rPr>
        <w:t xml:space="preserve"> as the date table.</w:t>
      </w:r>
    </w:p>
    <w:p w14:paraId="202779EB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measures for aggregations and time intelligence rather than relying on implicit aggregation.</w:t>
      </w:r>
    </w:p>
    <w:p w14:paraId="202779EC" w14:textId="77777777" w:rsidR="007A6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Budgeting should be split into </w:t>
      </w:r>
      <w:proofErr w:type="spellStart"/>
      <w:r>
        <w:rPr>
          <w:color w:val="000000"/>
        </w:rPr>
        <w:t>Budget_Location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Budget_Allocation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Budget_Monthly</w:t>
      </w:r>
      <w:proofErr w:type="spellEnd"/>
      <w:r>
        <w:rPr>
          <w:color w:val="000000"/>
        </w:rPr>
        <w:t xml:space="preserve"> during Power Query cleanup.</w:t>
      </w:r>
    </w:p>
    <w:p w14:paraId="202779ED" w14:textId="77777777" w:rsidR="007A63DA" w:rsidRPr="00001CA2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CA2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Source / Interpretation Notes</w:t>
      </w:r>
    </w:p>
    <w:p w14:paraId="202779EE" w14:textId="77777777" w:rsidR="007A63DA" w:rsidRDefault="00000000">
      <w:r>
        <w:t>All numerical findings above are calculated directly from the supplied Excel workbook. The assignment PDF requires the dashboard to include the seven main pages, interactive slicers, drill-down, drill-through, tooltips, cross-filtering, advanced DAX and business insights. The separate Power BI Build Pack contains the cleaned tables, relationships, DAX measure list and page blueprint needed to implement those requirements.</w:t>
      </w:r>
    </w:p>
    <w:p w14:paraId="202779EF" w14:textId="77777777" w:rsidR="007A63DA" w:rsidRDefault="00000000">
      <w:r>
        <w:t>Budget interpretation note: the source sheet does not explicitly label Revenue as annual or monthly. The analysis therefore treats the 12 allocation percentages as a distribution of the location budget across months. This assumption should be confirmed with the instructor/business owner.</w:t>
      </w:r>
    </w:p>
    <w:sectPr w:rsidR="007A63DA"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947E162-2C0C-46C3-A99C-1C815DB2A3FF}"/>
    <w:embedBold r:id="rId2" w:fontKey="{BF691EAB-E29D-4D78-952C-06F0B9455F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2BC7F26-C92F-4AF2-93CF-B9137E5887C7}"/>
    <w:embedBold r:id="rId4" w:fontKey="{DA17CB24-F423-40E4-81B6-8F1B19B216E6}"/>
    <w:embedItalic r:id="rId5" w:fontKey="{ED7AA7A5-312B-423B-8AE0-CECF57B61D34}"/>
    <w:embedBoldItalic r:id="rId6" w:fontKey="{C46C7B25-7971-48AD-BF57-AA64476133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F532E"/>
    <w:multiLevelType w:val="multilevel"/>
    <w:tmpl w:val="B5FAAD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E2A566B"/>
    <w:multiLevelType w:val="multilevel"/>
    <w:tmpl w:val="3A1249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16662285">
    <w:abstractNumId w:val="0"/>
  </w:num>
  <w:num w:numId="2" w16cid:durableId="150102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3DA"/>
    <w:rsid w:val="00001CA2"/>
    <w:rsid w:val="001561D9"/>
    <w:rsid w:val="007A63DA"/>
    <w:rsid w:val="00C1423F"/>
    <w:rsid w:val="00CD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7994"/>
  <w15:docId w15:val="{5EF024D2-29F5-41E2-8AD6-73CA0301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Saniya Firoj</cp:lastModifiedBy>
  <cp:revision>4</cp:revision>
  <dcterms:created xsi:type="dcterms:W3CDTF">2026-09-28T13:10:00Z</dcterms:created>
  <dcterms:modified xsi:type="dcterms:W3CDTF">2026-09-28T13:12:00Z</dcterms:modified>
</cp:coreProperties>
</file>