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A7906">
      <w:pPr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Lab 4: Microservices Decomposition &amp; Communication</w:t>
      </w:r>
    </w:p>
    <w:p w14:paraId="2E84AEF4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Activity Practice 1: Decomposition by Business Capability</w:t>
      </w:r>
    </w:p>
    <w:p w14:paraId="76AAA9AD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1. Identify Core Business Capabilities</w:t>
      </w:r>
    </w:p>
    <w:p w14:paraId="00B1719A">
      <w:pPr>
        <w:pStyle w:val="10"/>
        <w:rPr>
          <w:sz w:val="26"/>
          <w:szCs w:val="26"/>
        </w:rPr>
      </w:pPr>
      <w:r>
        <w:rPr>
          <w:sz w:val="26"/>
          <w:szCs w:val="26"/>
        </w:rPr>
        <w:t>The business domains are grouped as follows:</w:t>
      </w:r>
    </w:p>
    <w:p w14:paraId="2EA0EB01">
      <w:pPr>
        <w:pStyle w:val="10"/>
        <w:numPr>
          <w:ilvl w:val="0"/>
          <w:numId w:val="1"/>
        </w:numPr>
        <w:rPr>
          <w:rStyle w:val="17"/>
          <w:rFonts w:eastAsiaTheme="majorEastAsia"/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Organization structure management</w:t>
      </w:r>
      <w:r>
        <w:rPr>
          <w:sz w:val="26"/>
          <w:szCs w:val="26"/>
        </w:rPr>
        <w:t xml:space="preserve"> (Faculty/Department): FR-01 </w:t>
      </w:r>
    </w:p>
    <w:p w14:paraId="51AB9463">
      <w:pPr>
        <w:pStyle w:val="10"/>
        <w:numPr>
          <w:ilvl w:val="0"/>
          <w:numId w:val="1"/>
        </w:numPr>
        <w:rPr>
          <w:rStyle w:val="17"/>
          <w:rFonts w:eastAsiaTheme="majorEastAsia"/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Lecturer/user management</w:t>
      </w:r>
      <w:r>
        <w:rPr>
          <w:sz w:val="26"/>
          <w:szCs w:val="26"/>
        </w:rPr>
        <w:t xml:space="preserve">: FR-02 </w:t>
      </w:r>
    </w:p>
    <w:p w14:paraId="0FB16A11">
      <w:pPr>
        <w:pStyle w:val="10"/>
        <w:numPr>
          <w:ilvl w:val="0"/>
          <w:numId w:val="1"/>
        </w:numPr>
        <w:rPr>
          <w:rStyle w:val="17"/>
          <w:rFonts w:eastAsiaTheme="majorEastAsia"/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Shared course/subject catalog (Course catalog)</w:t>
      </w:r>
      <w:r>
        <w:rPr>
          <w:sz w:val="26"/>
          <w:szCs w:val="26"/>
        </w:rPr>
        <w:t xml:space="preserve">: FR-03 </w:t>
      </w:r>
    </w:p>
    <w:p w14:paraId="6AD1C86C">
      <w:pPr>
        <w:pStyle w:val="10"/>
        <w:numPr>
          <w:ilvl w:val="0"/>
          <w:numId w:val="1"/>
        </w:numPr>
        <w:rPr>
          <w:rStyle w:val="17"/>
          <w:rFonts w:eastAsiaTheme="majorEastAsia"/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Build &amp; manage curricula/frameworks/knowledge blocks + version/compare/copy</w:t>
      </w:r>
      <w:r>
        <w:rPr>
          <w:sz w:val="26"/>
          <w:szCs w:val="26"/>
        </w:rPr>
        <w:t xml:space="preserve">: FR-04 </w:t>
      </w:r>
    </w:p>
    <w:p w14:paraId="7298DEDF">
      <w:pPr>
        <w:pStyle w:val="10"/>
        <w:numPr>
          <w:ilvl w:val="0"/>
          <w:numId w:val="1"/>
        </w:numPr>
        <w:rPr>
          <w:rStyle w:val="17"/>
          <w:rFonts w:eastAsiaTheme="majorEastAsia"/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Publish &amp; look up published curricula (read-only)</w:t>
      </w:r>
      <w:r>
        <w:rPr>
          <w:sz w:val="26"/>
          <w:szCs w:val="26"/>
        </w:rPr>
        <w:t xml:space="preserve">: FR-05 </w:t>
      </w:r>
    </w:p>
    <w:p w14:paraId="7C32857E">
      <w:pPr>
        <w:pStyle w:val="10"/>
        <w:numPr>
          <w:ilvl w:val="0"/>
          <w:numId w:val="1"/>
        </w:numPr>
        <w:rPr>
          <w:rStyle w:val="17"/>
          <w:rFonts w:eastAsiaTheme="majorEastAsia"/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Calculate tuition by term, track outstanding balances &amp; online payment</w:t>
      </w:r>
      <w:r>
        <w:rPr>
          <w:sz w:val="26"/>
          <w:szCs w:val="26"/>
        </w:rPr>
        <w:t xml:space="preserve">: FR-06 </w:t>
      </w:r>
    </w:p>
    <w:p w14:paraId="6A4A0D1C">
      <w:pPr>
        <w:pStyle w:val="10"/>
        <w:rPr>
          <w:sz w:val="26"/>
          <w:szCs w:val="26"/>
        </w:rPr>
      </w:pPr>
      <w:r>
        <w:rPr>
          <w:sz w:val="26"/>
          <w:szCs w:val="26"/>
        </w:rPr>
        <w:t xml:space="preserve">Actor/Role: </w:t>
      </w:r>
      <w:r>
        <w:rPr>
          <w:rStyle w:val="11"/>
          <w:rFonts w:eastAsiaTheme="majorEastAsia"/>
          <w:sz w:val="26"/>
          <w:szCs w:val="26"/>
        </w:rPr>
        <w:t>Admin</w:t>
      </w:r>
      <w:r>
        <w:rPr>
          <w:sz w:val="26"/>
          <w:szCs w:val="26"/>
        </w:rPr>
        <w:t xml:space="preserve"> and </w:t>
      </w:r>
      <w:r>
        <w:rPr>
          <w:rStyle w:val="11"/>
          <w:rFonts w:eastAsiaTheme="majorEastAsia"/>
          <w:sz w:val="26"/>
          <w:szCs w:val="26"/>
        </w:rPr>
        <w:t>Student</w:t>
      </w:r>
      <w:r>
        <w:rPr>
          <w:sz w:val="26"/>
          <w:szCs w:val="26"/>
        </w:rPr>
        <w:t xml:space="preserve">. </w:t>
      </w:r>
    </w:p>
    <w:p w14:paraId="08C580A5">
      <w:pPr>
        <w:pStyle w:val="10"/>
        <w:rPr>
          <w:rStyle w:val="17"/>
          <w:rFonts w:eastAsiaTheme="majorEastAsia"/>
          <w:b/>
          <w:sz w:val="26"/>
          <w:szCs w:val="26"/>
        </w:rPr>
      </w:pPr>
      <w:r>
        <w:rPr>
          <w:b/>
          <w:sz w:val="26"/>
          <w:szCs w:val="26"/>
        </w:rPr>
        <w:t>2. Define Microservices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7005D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1" w:type="dxa"/>
          </w:tcPr>
          <w:p w14:paraId="4A0D98EC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Business Capability</w:t>
            </w:r>
          </w:p>
          <w:p w14:paraId="6B8203A7">
            <w:pPr>
              <w:pStyle w:val="10"/>
              <w:jc w:val="center"/>
              <w:rPr>
                <w:rStyle w:val="17"/>
                <w:rFonts w:eastAsiaTheme="majorEastAsia"/>
                <w:sz w:val="26"/>
                <w:szCs w:val="26"/>
              </w:rPr>
            </w:pPr>
          </w:p>
        </w:tc>
        <w:tc>
          <w:tcPr>
            <w:tcW w:w="3351" w:type="dxa"/>
          </w:tcPr>
          <w:p w14:paraId="0FE451D6">
            <w:pPr>
              <w:pStyle w:val="10"/>
              <w:jc w:val="center"/>
              <w:rPr>
                <w:rStyle w:val="17"/>
                <w:rFonts w:eastAsiaTheme="majorEastAsia"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Proposed Microservice</w:t>
            </w:r>
          </w:p>
        </w:tc>
        <w:tc>
          <w:tcPr>
            <w:tcW w:w="3351" w:type="dxa"/>
          </w:tcPr>
          <w:p w14:paraId="554C0794">
            <w:pPr>
              <w:pStyle w:val="10"/>
              <w:jc w:val="center"/>
              <w:rPr>
                <w:rStyle w:val="17"/>
                <w:rFonts w:eastAsiaTheme="majorEastAsia"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Data Owned (Entities)</w:t>
            </w:r>
          </w:p>
        </w:tc>
      </w:tr>
      <w:tr w14:paraId="61AB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1" w:type="dxa"/>
          </w:tcPr>
          <w:p w14:paraId="185677AC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FR-01: Organization structure management</w:t>
            </w:r>
          </w:p>
        </w:tc>
        <w:tc>
          <w:tcPr>
            <w:tcW w:w="3351" w:type="dxa"/>
          </w:tcPr>
          <w:p w14:paraId="220F5FB1">
            <w:pPr>
              <w:pStyle w:val="10"/>
              <w:jc w:val="center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Organization Service</w:t>
            </w:r>
          </w:p>
        </w:tc>
        <w:tc>
          <w:tcPr>
            <w:tcW w:w="3351" w:type="dxa"/>
          </w:tcPr>
          <w:p w14:paraId="01851F1F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rStyle w:val="11"/>
                <w:rFonts w:eastAsiaTheme="majorEastAsia"/>
                <w:sz w:val="26"/>
                <w:szCs w:val="26"/>
              </w:rPr>
              <w:t>faculty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Style w:val="11"/>
                <w:rFonts w:eastAsiaTheme="majorEastAsia"/>
                <w:sz w:val="26"/>
                <w:szCs w:val="26"/>
              </w:rPr>
              <w:t>major</w:t>
            </w:r>
            <w:r>
              <w:rPr>
                <w:sz w:val="26"/>
                <w:szCs w:val="26"/>
              </w:rPr>
              <w:t xml:space="preserve"> (CRUD already exists in </w:t>
            </w:r>
            <w:r>
              <w:rPr>
                <w:rStyle w:val="9"/>
                <w:rFonts w:ascii="Times New Roman" w:hAnsi="Times New Roman" w:cs="Times New Roman" w:eastAsiaTheme="majorEastAsia"/>
                <w:sz w:val="26"/>
                <w:szCs w:val="26"/>
              </w:rPr>
              <w:t>frontend/khoa.php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Style w:val="9"/>
                <w:rFonts w:ascii="Times New Roman" w:hAnsi="Times New Roman" w:cs="Times New Roman" w:eastAsiaTheme="majorEastAsia"/>
                <w:sz w:val="26"/>
                <w:szCs w:val="26"/>
              </w:rPr>
              <w:t>frontend/nganh.php</w:t>
            </w:r>
            <w:r>
              <w:rPr>
                <w:sz w:val="26"/>
                <w:szCs w:val="26"/>
              </w:rPr>
              <w:t>)</w:t>
            </w:r>
          </w:p>
        </w:tc>
      </w:tr>
      <w:tr w14:paraId="3EEBB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1" w:type="dxa"/>
          </w:tcPr>
          <w:p w14:paraId="5C439776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FR-02: Lecturer/user management</w:t>
            </w:r>
          </w:p>
        </w:tc>
        <w:tc>
          <w:tcPr>
            <w:tcW w:w="3351" w:type="dxa"/>
          </w:tcPr>
          <w:p w14:paraId="6119F28E">
            <w:pPr>
              <w:pStyle w:val="10"/>
              <w:jc w:val="center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User/Lecturer Service</w:t>
            </w:r>
          </w:p>
        </w:tc>
        <w:tc>
          <w:tcPr>
            <w:tcW w:w="3351" w:type="dxa"/>
          </w:tcPr>
          <w:p w14:paraId="5F774F90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rStyle w:val="11"/>
                <w:rFonts w:eastAsiaTheme="majorEastAsia"/>
                <w:sz w:val="26"/>
                <w:szCs w:val="26"/>
              </w:rPr>
              <w:t>lecturer</w:t>
            </w:r>
            <w:r>
              <w:rPr>
                <w:sz w:val="26"/>
                <w:szCs w:val="26"/>
              </w:rPr>
              <w:t xml:space="preserve"> (CRUD in </w:t>
            </w:r>
            <w:r>
              <w:rPr>
                <w:rStyle w:val="9"/>
                <w:rFonts w:ascii="Times New Roman" w:hAnsi="Times New Roman" w:cs="Times New Roman" w:eastAsiaTheme="majorEastAsia"/>
                <w:sz w:val="26"/>
                <w:szCs w:val="26"/>
              </w:rPr>
              <w:t>frontend/giangvien.php</w:t>
            </w:r>
            <w:r>
              <w:rPr>
                <w:sz w:val="26"/>
                <w:szCs w:val="26"/>
              </w:rPr>
              <w:t>)</w:t>
            </w:r>
          </w:p>
        </w:tc>
      </w:tr>
      <w:tr w14:paraId="3BEA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1" w:type="dxa"/>
          </w:tcPr>
          <w:p w14:paraId="088BE741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FR-03: Shared course catalog (create/edit/remove/search + bulk import)</w:t>
            </w:r>
          </w:p>
        </w:tc>
        <w:tc>
          <w:tcPr>
            <w:tcW w:w="3351" w:type="dxa"/>
          </w:tcPr>
          <w:p w14:paraId="78407E63">
            <w:pPr>
              <w:pStyle w:val="10"/>
              <w:jc w:val="center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Course Catalog Service</w:t>
            </w:r>
          </w:p>
        </w:tc>
        <w:tc>
          <w:tcPr>
            <w:tcW w:w="3351" w:type="dxa"/>
          </w:tcPr>
          <w:p w14:paraId="798D547F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rStyle w:val="11"/>
                <w:rFonts w:eastAsiaTheme="majorEastAsia"/>
                <w:sz w:val="26"/>
                <w:szCs w:val="26"/>
              </w:rPr>
              <w:t>course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Style w:val="11"/>
                <w:rFonts w:eastAsiaTheme="majorEastAsia"/>
                <w:sz w:val="26"/>
                <w:szCs w:val="26"/>
              </w:rPr>
              <w:t>course_relationship</w:t>
            </w:r>
            <w:r>
              <w:rPr>
                <w:sz w:val="26"/>
                <w:szCs w:val="26"/>
              </w:rPr>
              <w:t xml:space="preserve"> (CRUD + relationships in </w:t>
            </w:r>
            <w:r>
              <w:rPr>
                <w:rStyle w:val="9"/>
                <w:rFonts w:ascii="Times New Roman" w:hAnsi="Times New Roman" w:cs="Times New Roman" w:eastAsiaTheme="majorEastAsia"/>
                <w:sz w:val="26"/>
                <w:szCs w:val="26"/>
              </w:rPr>
              <w:t>frontend/monhoc.php</w:t>
            </w:r>
            <w:r>
              <w:rPr>
                <w:sz w:val="26"/>
                <w:szCs w:val="26"/>
              </w:rPr>
              <w:t>)</w:t>
            </w:r>
          </w:p>
        </w:tc>
      </w:tr>
      <w:tr w14:paraId="0121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1" w:type="dxa"/>
          </w:tcPr>
          <w:p w14:paraId="602CBA80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FR-04: Curriculum building &amp; management (knowledge blocks, structures/frameworks, compare/copy/versioning)</w:t>
            </w:r>
          </w:p>
        </w:tc>
        <w:tc>
          <w:tcPr>
            <w:tcW w:w="3351" w:type="dxa"/>
          </w:tcPr>
          <w:p w14:paraId="47AA3737">
            <w:pPr>
              <w:pStyle w:val="10"/>
              <w:jc w:val="center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Curriculum Service</w:t>
            </w:r>
          </w:p>
        </w:tc>
        <w:tc>
          <w:tcPr>
            <w:tcW w:w="3351" w:type="dxa"/>
          </w:tcPr>
          <w:p w14:paraId="4FEACDCD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rStyle w:val="11"/>
                <w:rFonts w:eastAsiaTheme="majorEastAsia"/>
                <w:sz w:val="26"/>
                <w:szCs w:val="26"/>
              </w:rPr>
              <w:t>knowledge_block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Style w:val="11"/>
                <w:rFonts w:eastAsiaTheme="majorEastAsia"/>
                <w:sz w:val="26"/>
                <w:szCs w:val="26"/>
              </w:rPr>
              <w:t>curriculum</w:t>
            </w:r>
            <w:r>
              <w:rPr>
                <w:sz w:val="26"/>
                <w:szCs w:val="26"/>
              </w:rPr>
              <w:t xml:space="preserve"> (CRUD for knowledge blocks + curriculum/framework)</w:t>
            </w:r>
          </w:p>
        </w:tc>
      </w:tr>
      <w:tr w14:paraId="260C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1" w:type="dxa"/>
          </w:tcPr>
          <w:p w14:paraId="7B4D8E4A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FR-05: Publish &amp; read-only lookup</w:t>
            </w:r>
          </w:p>
        </w:tc>
        <w:tc>
          <w:tcPr>
            <w:tcW w:w="3351" w:type="dxa"/>
          </w:tcPr>
          <w:p w14:paraId="5FAE4A56">
            <w:pPr>
              <w:pStyle w:val="10"/>
              <w:jc w:val="center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Publishing/Lookup Service</w:t>
            </w:r>
          </w:p>
        </w:tc>
        <w:tc>
          <w:tcPr>
            <w:tcW w:w="3351" w:type="dxa"/>
          </w:tcPr>
          <w:p w14:paraId="1AAFB1D3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Published curriculum data for read-only lookup </w:t>
            </w:r>
          </w:p>
        </w:tc>
      </w:tr>
      <w:tr w14:paraId="0B6B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1" w:type="dxa"/>
          </w:tcPr>
          <w:p w14:paraId="6690052E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FR-06: Tuition calculation &amp; tracking + online payment flow</w:t>
            </w:r>
          </w:p>
        </w:tc>
        <w:tc>
          <w:tcPr>
            <w:tcW w:w="3351" w:type="dxa"/>
          </w:tcPr>
          <w:p w14:paraId="385D0C46">
            <w:pPr>
              <w:pStyle w:val="10"/>
              <w:jc w:val="center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Tuition &amp; Payment Service</w:t>
            </w:r>
          </w:p>
        </w:tc>
        <w:tc>
          <w:tcPr>
            <w:tcW w:w="3351" w:type="dxa"/>
          </w:tcPr>
          <w:p w14:paraId="242FC629">
            <w:pPr>
              <w:pStyle w:val="10"/>
              <w:jc w:val="both"/>
              <w:rPr>
                <w:rStyle w:val="17"/>
                <w:rFonts w:eastAsiaTheme="maj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Flow for “calculate/track tuition by term + online payment” (FR-06) and payment business tables</w:t>
            </w:r>
          </w:p>
        </w:tc>
      </w:tr>
    </w:tbl>
    <w:p w14:paraId="46D3962C">
      <w:pPr>
        <w:pStyle w:val="10"/>
        <w:rPr>
          <w:b/>
          <w:sz w:val="26"/>
          <w:szCs w:val="26"/>
        </w:rPr>
      </w:pPr>
      <w:r>
        <w:rPr>
          <w:b/>
          <w:sz w:val="26"/>
          <w:szCs w:val="26"/>
        </w:rPr>
        <w:t>3. Define External Dependencies</w:t>
      </w:r>
    </w:p>
    <w:p w14:paraId="2B6A6A7A">
      <w:pPr>
        <w:pStyle w:val="19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Payment Gateway / Payment Processor</w:t>
      </w:r>
      <w:r>
        <w:rPr>
          <w:rFonts w:eastAsia="Times New Roman" w:cs="Times New Roman"/>
          <w:szCs w:val="26"/>
        </w:rPr>
        <w:t xml:space="preserve"> – supports the online payment flow for FR-06 </w:t>
      </w:r>
    </w:p>
    <w:p w14:paraId="519D120C">
      <w:pPr>
        <w:pStyle w:val="19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SSO Identity Provider</w:t>
      </w:r>
      <w:r>
        <w:rPr>
          <w:rFonts w:eastAsia="Times New Roman" w:cs="Times New Roman"/>
          <w:szCs w:val="26"/>
        </w:rPr>
        <w:t xml:space="preserve"> – because NFR-03 requires SSO auth + RBAC + SSL/TLS </w:t>
      </w:r>
    </w:p>
    <w:p w14:paraId="7C3C38F6">
      <w:pPr>
        <w:pStyle w:val="19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Style w:val="17"/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Backup/Monitoring/Alerting system</w:t>
      </w:r>
      <w:r>
        <w:rPr>
          <w:rFonts w:eastAsia="Times New Roman" w:cs="Times New Roman"/>
          <w:szCs w:val="26"/>
        </w:rPr>
        <w:t xml:space="preserve"> – because NFR-01 requires outage detection/alerting + daily backups </w:t>
      </w:r>
    </w:p>
    <w:p w14:paraId="09317CF2">
      <w:pPr>
        <w:pStyle w:val="19"/>
        <w:numPr>
          <w:ilvl w:val="0"/>
          <w:numId w:val="1"/>
        </w:num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Activity Practice 2: Defining Service Contracts</w:t>
      </w:r>
    </w:p>
    <w:p w14:paraId="301B295B">
      <w:pPr>
        <w:pStyle w:val="19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Producer:</w:t>
      </w:r>
      <w:r>
        <w:rPr>
          <w:rFonts w:eastAsia="Times New Roman" w:cs="Times New Roman"/>
          <w:szCs w:val="26"/>
        </w:rPr>
        <w:t xml:space="preserve"> </w:t>
      </w:r>
      <w:r>
        <w:rPr>
          <w:rFonts w:eastAsia="Times New Roman" w:cs="Times New Roman"/>
          <w:i/>
          <w:iCs/>
          <w:szCs w:val="26"/>
        </w:rPr>
        <w:t>Course Catalog Service</w:t>
      </w:r>
      <w:r>
        <w:rPr>
          <w:rFonts w:eastAsia="Times New Roman" w:cs="Times New Roman"/>
          <w:szCs w:val="26"/>
        </w:rPr>
        <w:t xml:space="preserve"> (manages courses/subjects – FR-03) </w:t>
      </w:r>
    </w:p>
    <w:p w14:paraId="5F2FF334">
      <w:pPr>
        <w:pStyle w:val="19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>Consumer:</w:t>
      </w:r>
      <w:r>
        <w:rPr>
          <w:rFonts w:eastAsia="Times New Roman" w:cs="Times New Roman"/>
          <w:szCs w:val="26"/>
        </w:rPr>
        <w:t xml:space="preserve"> </w:t>
      </w:r>
      <w:r>
        <w:rPr>
          <w:rFonts w:eastAsia="Times New Roman" w:cs="Times New Roman"/>
          <w:i/>
          <w:iCs/>
          <w:szCs w:val="26"/>
        </w:rPr>
        <w:t>Curriculum Service</w:t>
      </w:r>
      <w:r>
        <w:rPr>
          <w:rFonts w:eastAsia="Times New Roman" w:cs="Times New Roman"/>
          <w:szCs w:val="26"/>
        </w:rPr>
        <w:t xml:space="preserve"> (builds curricula/frameworks/knowledge blocks – FR-04)</w:t>
      </w:r>
    </w:p>
    <w:p w14:paraId="65D86835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2.1. Define the Producer API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513"/>
        <w:gridCol w:w="2513"/>
        <w:gridCol w:w="2514"/>
      </w:tblGrid>
      <w:tr w14:paraId="5796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3" w:type="dxa"/>
          </w:tcPr>
          <w:p w14:paraId="3601F1E3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Endpoint</w:t>
            </w:r>
          </w:p>
        </w:tc>
        <w:tc>
          <w:tcPr>
            <w:tcW w:w="2513" w:type="dxa"/>
          </w:tcPr>
          <w:p w14:paraId="698C17D2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HTTP Method</w:t>
            </w:r>
          </w:p>
        </w:tc>
        <w:tc>
          <w:tcPr>
            <w:tcW w:w="2513" w:type="dxa"/>
          </w:tcPr>
          <w:p w14:paraId="5F3C2293">
            <w:pPr>
              <w:spacing w:after="0"/>
              <w:ind w:firstLine="72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Description</w:t>
            </w:r>
          </w:p>
        </w:tc>
        <w:tc>
          <w:tcPr>
            <w:tcW w:w="2514" w:type="dxa"/>
          </w:tcPr>
          <w:p w14:paraId="10998F78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Data Returned</w:t>
            </w:r>
          </w:p>
        </w:tc>
      </w:tr>
      <w:tr w14:paraId="11AF8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3" w:type="dxa"/>
          </w:tcPr>
          <w:p w14:paraId="3D26DC15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/api/courses/{id}</w:t>
            </w:r>
          </w:p>
        </w:tc>
        <w:tc>
          <w:tcPr>
            <w:tcW w:w="2513" w:type="dxa"/>
          </w:tcPr>
          <w:p w14:paraId="25178593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GET</w:t>
            </w:r>
          </w:p>
        </w:tc>
        <w:tc>
          <w:tcPr>
            <w:tcW w:w="2513" w:type="dxa"/>
          </w:tcPr>
          <w:p w14:paraId="40027A7A">
            <w:pPr>
              <w:spacing w:after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Retrieve full details of a single course/subject</w:t>
            </w:r>
          </w:p>
        </w:tc>
        <w:tc>
          <w:tcPr>
            <w:tcW w:w="2514" w:type="dxa"/>
          </w:tcPr>
          <w:p w14:paraId="3B4AAB58">
            <w:pPr>
              <w:spacing w:after="0"/>
              <w:rPr>
                <w:rFonts w:cs="Times New Roman"/>
                <w:b/>
                <w:szCs w:val="26"/>
              </w:rPr>
            </w:pPr>
            <w:r>
              <w:rPr>
                <w:rStyle w:val="11"/>
                <w:rFonts w:cs="Times New Roman"/>
                <w:szCs w:val="26"/>
              </w:rPr>
              <w:t>Course object</w:t>
            </w:r>
            <w:r>
              <w:rPr>
                <w:rFonts w:cs="Times New Roman"/>
                <w:szCs w:val="26"/>
              </w:rPr>
              <w:t xml:space="preserve"> (courseCode, courseName, credits, unit_id, description, …) — based on the same CRUD fields used when INSERTing a course</w:t>
            </w:r>
          </w:p>
        </w:tc>
      </w:tr>
      <w:tr w14:paraId="0179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3" w:type="dxa"/>
          </w:tcPr>
          <w:p w14:paraId="3EE2C16B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/api/courses</w:t>
            </w:r>
          </w:p>
        </w:tc>
        <w:tc>
          <w:tcPr>
            <w:tcW w:w="2513" w:type="dxa"/>
          </w:tcPr>
          <w:p w14:paraId="096D9F95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GET</w:t>
            </w:r>
          </w:p>
        </w:tc>
        <w:tc>
          <w:tcPr>
            <w:tcW w:w="2513" w:type="dxa"/>
          </w:tcPr>
          <w:p w14:paraId="53213C31">
            <w:pPr>
              <w:spacing w:after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Search / list courses by criteria</w:t>
            </w:r>
          </w:p>
        </w:tc>
        <w:tc>
          <w:tcPr>
            <w:tcW w:w="2514" w:type="dxa"/>
          </w:tcPr>
          <w:p w14:paraId="6E0C77B1">
            <w:pPr>
              <w:spacing w:after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 xml:space="preserve">List of </w:t>
            </w:r>
            <w:r>
              <w:rPr>
                <w:rStyle w:val="11"/>
                <w:rFonts w:cs="Times New Roman"/>
                <w:szCs w:val="26"/>
              </w:rPr>
              <w:t>Course</w:t>
            </w:r>
            <w:r>
              <w:rPr>
                <w:rFonts w:cs="Times New Roman"/>
                <w:szCs w:val="26"/>
              </w:rPr>
              <w:t xml:space="preserve"> (summary view)</w:t>
            </w:r>
          </w:p>
        </w:tc>
      </w:tr>
      <w:tr w14:paraId="778EB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3" w:type="dxa"/>
          </w:tcPr>
          <w:p w14:paraId="2165F59B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/api/courses</w:t>
            </w:r>
          </w:p>
        </w:tc>
        <w:tc>
          <w:tcPr>
            <w:tcW w:w="2513" w:type="dxa"/>
          </w:tcPr>
          <w:p w14:paraId="5B6D4632">
            <w:pPr>
              <w:spacing w:after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POST</w:t>
            </w:r>
          </w:p>
        </w:tc>
        <w:tc>
          <w:tcPr>
            <w:tcW w:w="2513" w:type="dxa"/>
          </w:tcPr>
          <w:p w14:paraId="28250638">
            <w:pPr>
              <w:spacing w:after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Add a new course (Admin function)</w:t>
            </w:r>
          </w:p>
        </w:tc>
        <w:tc>
          <w:tcPr>
            <w:tcW w:w="2514" w:type="dxa"/>
          </w:tcPr>
          <w:p w14:paraId="6BD6DDB2">
            <w:pPr>
              <w:spacing w:after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Course object</w:t>
            </w:r>
          </w:p>
        </w:tc>
      </w:tr>
    </w:tbl>
    <w:p w14:paraId="683AB5BC">
      <w:pPr>
        <w:rPr>
          <w:rFonts w:cs="Times New Roman"/>
          <w:b/>
          <w:szCs w:val="26"/>
        </w:rPr>
      </w:pPr>
    </w:p>
    <w:p w14:paraId="7A5BEBDD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2.2. Define the Consumer Interaction</w:t>
      </w:r>
    </w:p>
    <w:p w14:paraId="50697645">
      <w:pPr>
        <w:pStyle w:val="19"/>
        <w:numPr>
          <w:ilvl w:val="0"/>
          <w:numId w:val="2"/>
        </w:numPr>
        <w:rPr>
          <w:rStyle w:val="11"/>
          <w:rFonts w:cs="Times New Roman"/>
          <w:szCs w:val="26"/>
        </w:rPr>
      </w:pPr>
      <w:r>
        <w:rPr>
          <w:rFonts w:cs="Times New Roman"/>
          <w:b/>
          <w:szCs w:val="26"/>
        </w:rPr>
        <w:t>Action:</w:t>
      </w:r>
      <w:r>
        <w:rPr>
          <w:rFonts w:cs="Times New Roman"/>
          <w:szCs w:val="26"/>
        </w:rPr>
        <w:t xml:space="preserve"> </w:t>
      </w:r>
      <w:r>
        <w:rPr>
          <w:rStyle w:val="11"/>
          <w:rFonts w:cs="Times New Roman"/>
          <w:szCs w:val="26"/>
        </w:rPr>
        <w:t>courseName</w:t>
      </w:r>
      <w:r>
        <w:rPr>
          <w:rFonts w:cs="Times New Roman"/>
          <w:szCs w:val="26"/>
        </w:rPr>
        <w:t xml:space="preserve"> and </w:t>
      </w:r>
      <w:r>
        <w:rPr>
          <w:rStyle w:val="11"/>
          <w:rFonts w:cs="Times New Roman"/>
          <w:szCs w:val="26"/>
        </w:rPr>
        <w:t>credits</w:t>
      </w:r>
    </w:p>
    <w:p w14:paraId="2D9235AB">
      <w:pPr>
        <w:pStyle w:val="19"/>
        <w:numPr>
          <w:ilvl w:val="0"/>
          <w:numId w:val="2"/>
        </w:numPr>
        <w:rPr>
          <w:rFonts w:cs="Times New Roman"/>
          <w:b/>
          <w:szCs w:val="26"/>
        </w:rPr>
      </w:pPr>
      <w:r>
        <w:rPr>
          <w:rStyle w:val="11"/>
          <w:rFonts w:cs="Times New Roman"/>
          <w:szCs w:val="26"/>
        </w:rPr>
        <w:t>Requirement:</w:t>
      </w:r>
      <w:r>
        <w:rPr>
          <w:rFonts w:cs="Times New Roman"/>
          <w:szCs w:val="26"/>
        </w:rPr>
        <w:t xml:space="preserve"> Curriculum Service </w:t>
      </w:r>
      <w:r>
        <w:rPr>
          <w:rStyle w:val="11"/>
          <w:rFonts w:cs="Times New Roman"/>
          <w:b w:val="0"/>
          <w:szCs w:val="26"/>
        </w:rPr>
        <w:t>must not</w:t>
      </w:r>
      <w:r>
        <w:rPr>
          <w:rFonts w:cs="Times New Roman"/>
          <w:szCs w:val="26"/>
        </w:rPr>
        <w:t xml:space="preserve"> access the Course Catalog Service database directly (violates the service boundary); instead it must call the defined endpoint: </w:t>
      </w:r>
      <w:r>
        <w:rPr>
          <w:rStyle w:val="9"/>
          <w:rFonts w:ascii="Times New Roman" w:hAnsi="Times New Roman" w:cs="Times New Roman" w:eastAsiaTheme="majorEastAsia"/>
          <w:sz w:val="26"/>
          <w:szCs w:val="26"/>
        </w:rPr>
        <w:t>GET /api/courses/{id}</w:t>
      </w:r>
      <w:r>
        <w:rPr>
          <w:rFonts w:cs="Times New Roman"/>
          <w:szCs w:val="26"/>
        </w:rPr>
        <w:t>.</w:t>
      </w:r>
    </w:p>
    <w:p w14:paraId="559F2127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Activity – Practice 3: C4 Model (Level 1: System Context)</w:t>
      </w:r>
    </w:p>
    <w:p w14:paraId="40D6C760">
      <w:pPr>
        <w:rPr>
          <w:rFonts w:cs="Times New Roman"/>
          <w:b/>
          <w:szCs w:val="26"/>
        </w:rPr>
      </w:pPr>
    </w:p>
    <w:p w14:paraId="1893E82E">
      <w:pPr>
        <w:rPr>
          <w:rFonts w:hint="default" w:cs="Times New Roman"/>
          <w:b/>
          <w:szCs w:val="26"/>
          <w:lang w:val="en-US"/>
        </w:rPr>
      </w:pPr>
      <w:r>
        <w:rPr>
          <w:rFonts w:hint="default" w:cs="Times New Roman"/>
          <w:b/>
          <w:szCs w:val="26"/>
          <w:lang w:val="en-US"/>
        </w:rPr>
        <w:drawing>
          <wp:inline distT="0" distB="0" distL="114300" distR="114300">
            <wp:extent cx="6386830" cy="5545455"/>
            <wp:effectExtent l="0" t="0" r="13970" b="1905"/>
            <wp:docPr id="2" name="Picture 2" descr="Biểu đồ không có tiêu đề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iểu đồ không có tiêu đề.drawio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w:type="default" r:id="rId9"/>
      <w:footerReference w:type="default" r:id="rId10"/>
      <w:pgSz w:w="11907" w:h="16840"/>
      <w:pgMar w:top="1418" w:right="851" w:bottom="1418" w:left="9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35896"/>
    <w:multiLevelType w:val="multilevel"/>
    <w:tmpl w:val="20435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5193AD1"/>
    <w:multiLevelType w:val="multilevel"/>
    <w:tmpl w:val="65193A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2C9"/>
    <w:rsid w:val="000F7CAE"/>
    <w:rsid w:val="00130243"/>
    <w:rsid w:val="0026705E"/>
    <w:rsid w:val="00404698"/>
    <w:rsid w:val="005156E4"/>
    <w:rsid w:val="008B072D"/>
    <w:rsid w:val="009D7101"/>
    <w:rsid w:val="00A012C9"/>
    <w:rsid w:val="00B602FD"/>
    <w:rsid w:val="6674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4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4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5"/>
    <w:autoRedefine/>
    <w:unhideWhenUsed/>
    <w:qFormat/>
    <w:uiPriority w:val="9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6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11">
    <w:name w:val="Strong"/>
    <w:basedOn w:val="6"/>
    <w:qFormat/>
    <w:uiPriority w:val="22"/>
    <w:rPr>
      <w:b/>
      <w:bCs/>
    </w:rPr>
  </w:style>
  <w:style w:type="table" w:styleId="12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ing 1 Char"/>
    <w:basedOn w:val="6"/>
    <w:link w:val="2"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4">
    <w:name w:val="Heading 2 Char"/>
    <w:basedOn w:val="6"/>
    <w:link w:val="3"/>
    <w:semiHidden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5">
    <w:name w:val="Heading 3 Char"/>
    <w:basedOn w:val="6"/>
    <w:link w:val="4"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6">
    <w:name w:val="Heading 4 Char"/>
    <w:basedOn w:val="6"/>
    <w:link w:val="5"/>
    <w:semiHidden/>
    <w:qFormat/>
    <w:uiPriority w:val="9"/>
    <w:rPr>
      <w:rFonts w:ascii="Times New Roman" w:hAnsi="Times New Roman" w:eastAsiaTheme="majorEastAsia" w:cstheme="majorBidi"/>
      <w:i/>
      <w:iCs/>
      <w:sz w:val="26"/>
    </w:rPr>
  </w:style>
  <w:style w:type="character" w:customStyle="1" w:styleId="17">
    <w:name w:val="relative"/>
    <w:basedOn w:val="6"/>
    <w:uiPriority w:val="0"/>
  </w:style>
  <w:style w:type="paragraph" w:customStyle="1" w:styleId="18">
    <w:name w:val="not-prose"/>
    <w:basedOn w:val="1"/>
    <w:uiPriority w:val="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400</Words>
  <Characters>2284</Characters>
  <Lines>19</Lines>
  <Paragraphs>5</Paragraphs>
  <TotalTime>27</TotalTime>
  <ScaleCrop>false</ScaleCrop>
  <LinksUpToDate>false</LinksUpToDate>
  <CharactersWithSpaces>2679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2026-01-06T15:42:00Z</dcterms:created>
  <dc:creator>Administrator</dc:creator>
  <cp:lastModifiedBy>Quang Đặng</cp:lastModifiedBy>
  <dcterms:modified xsi:type="dcterms:W3CDTF">2026-01-06T16:56:18Z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8B79C6D4ED7C460B810B19164DC5D201_12</vt:lpwstr>
  </property>
</Properties>
</file>