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sz w:val="34"/>
          <w:szCs w:val="34"/>
        </w:rPr>
        <w:t xml:space="preserve">Monte Carlo π Estimation — Multithreading Lab Answers</w:t>
      </w:r>
    </w:p>
    <w:p>
      <w:pPr>
        <w:spacing w:after="320"/>
      </w:pPr>
      <w:r>
        <w:rPr>
          <w:i/>
          <w:iCs/>
          <w:color w:val="555555"/>
          <w:sz w:val="20"/>
          <w:szCs w:val="20"/>
        </w:rPr>
        <w:t xml:space="preserve">Parts 1–3: Data Races, Synchronization, and OpenMP-Style Reduction</w:t>
      </w:r>
    </w:p>
    <w:p>
      <w:pPr>
        <w:pStyle w:val="Heading2"/>
        <w:spacing w:after="160" w:before="320"/>
      </w:pPr>
      <w:r>
        <w:rPr>
          <w:b/>
          <w:bCs/>
          <w:color w:val="1A1A1A"/>
          <w:sz w:val="26"/>
          <w:szCs w:val="26"/>
        </w:rPr>
        <w:t xml:space="preserve">Part 1 — The Phantom Bug (5 runs, 4 threads, 50,000,000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3400"/>
      </w:tblGrid>
      <w:tr>
        <w:trPr>
          <w:tblHeader/>
        </w:trPr>
        <w:tc>
          <w:tcPr>
            <w:tcW w:type="dxa" w:w="1600"/>
            <w:shd w:fill="2D3748" w:val="clear"/>
            <w:tcMar>
              <w:top w:type="dxa" w:w="100"/>
              <w:left w:type="dxa" w:w="100"/>
              <w:bottom w:type="dxa" w:w="100"/>
              <w:right w:type="dxa" w:w="100"/>
            </w:tcMar>
            <w:vAlign w:val="center"/>
          </w:tcPr>
          <w:p>
            <w:pPr>
              <w:jc w:val="center"/>
            </w:pPr>
            <w:r>
              <w:rPr>
                <w:b/>
                <w:bCs/>
                <w:color w:val="FFFFFF"/>
                <w:sz w:val="19"/>
                <w:szCs w:val="19"/>
              </w:rPr>
              <w:t xml:space="preserve">Run</w:t>
            </w:r>
          </w:p>
        </w:tc>
        <w:tc>
          <w:tcPr>
            <w:tcW w:type="dxa" w:w="2400"/>
            <w:shd w:fill="2D3748" w:val="clear"/>
            <w:tcMar>
              <w:top w:type="dxa" w:w="100"/>
              <w:left w:type="dxa" w:w="100"/>
              <w:bottom w:type="dxa" w:w="100"/>
              <w:right w:type="dxa" w:w="100"/>
            </w:tcMar>
            <w:vAlign w:val="center"/>
          </w:tcPr>
          <w:p>
            <w:pPr>
              <w:jc w:val="center"/>
            </w:pPr>
            <w:r>
              <w:rPr>
                <w:b/>
                <w:bCs/>
                <w:color w:val="FFFFFF"/>
                <w:sz w:val="19"/>
                <w:szCs w:val="19"/>
              </w:rPr>
              <w:t xml:space="preserve">Runtime (ms)</w:t>
            </w:r>
          </w:p>
        </w:tc>
        <w:tc>
          <w:tcPr>
            <w:tcW w:type="dxa" w:w="2600"/>
            <w:shd w:fill="2D3748" w:val="clear"/>
            <w:tcMar>
              <w:top w:type="dxa" w:w="100"/>
              <w:left w:type="dxa" w:w="100"/>
              <w:bottom w:type="dxa" w:w="100"/>
              <w:right w:type="dxa" w:w="100"/>
            </w:tcMar>
            <w:vAlign w:val="center"/>
          </w:tcPr>
          <w:p>
            <w:pPr>
              <w:jc w:val="center"/>
            </w:pPr>
            <w:r>
              <w:rPr>
                <w:b/>
                <w:bCs/>
                <w:color w:val="FFFFFF"/>
                <w:sz w:val="19"/>
                <w:szCs w:val="19"/>
              </w:rPr>
              <w:t xml:space="preserve">π (measured)</w:t>
            </w:r>
          </w:p>
        </w:tc>
        <w:tc>
          <w:tcPr>
            <w:tcW w:type="dxa" w:w="3400"/>
            <w:shd w:fill="2D3748" w:val="clear"/>
            <w:tcMar>
              <w:top w:type="dxa" w:w="100"/>
              <w:left w:type="dxa" w:w="100"/>
              <w:bottom w:type="dxa" w:w="100"/>
              <w:right w:type="dxa" w:w="100"/>
            </w:tcMar>
            <w:vAlign w:val="center"/>
          </w:tcPr>
          <w:p>
            <w:pPr>
              <w:jc w:val="center"/>
            </w:pPr>
            <w:r>
              <w:rPr>
                <w:b/>
                <w:bCs/>
                <w:color w:val="FFFFFF"/>
                <w:sz w:val="19"/>
                <w:szCs w:val="19"/>
              </w:rPr>
              <w:t xml:space="preserve">Hits recorded</w:t>
            </w:r>
          </w:p>
        </w:tc>
      </w:tr>
      <w:tr>
        <w:tc>
          <w:tcPr>
            <w:tcW w:type="dxa" w:w="1600"/>
            <w:tcMar>
              <w:top w:type="dxa" w:w="100"/>
              <w:left w:type="dxa" w:w="100"/>
              <w:bottom w:type="dxa" w:w="100"/>
              <w:right w:type="dxa" w:w="100"/>
            </w:tcMar>
            <w:vAlign w:val="center"/>
          </w:tcPr>
          <w:p>
            <w:pPr>
              <w:jc w:val="center"/>
            </w:pPr>
            <w:r>
              <w:rPr>
                <w:sz w:val="19"/>
                <w:szCs w:val="19"/>
              </w:rPr>
              <w:t xml:space="preserve">1</w:t>
            </w:r>
          </w:p>
        </w:tc>
        <w:tc>
          <w:tcPr>
            <w:tcW w:type="dxa" w:w="2400"/>
            <w:tcMar>
              <w:top w:type="dxa" w:w="100"/>
              <w:left w:type="dxa" w:w="100"/>
              <w:bottom w:type="dxa" w:w="100"/>
              <w:right w:type="dxa" w:w="100"/>
            </w:tcMar>
            <w:vAlign w:val="center"/>
          </w:tcPr>
          <w:p>
            <w:pPr>
              <w:jc w:val="center"/>
            </w:pPr>
            <w:r>
              <w:rPr>
                <w:sz w:val="19"/>
                <w:szCs w:val="19"/>
              </w:rPr>
              <w:t xml:space="preserve">308</w:t>
            </w:r>
          </w:p>
        </w:tc>
        <w:tc>
          <w:tcPr>
            <w:tcW w:type="dxa" w:w="2600"/>
            <w:tcMar>
              <w:top w:type="dxa" w:w="100"/>
              <w:left w:type="dxa" w:w="100"/>
              <w:bottom w:type="dxa" w:w="100"/>
              <w:right w:type="dxa" w:w="100"/>
            </w:tcMar>
            <w:vAlign w:val="center"/>
          </w:tcPr>
          <w:p>
            <w:pPr>
              <w:jc w:val="center"/>
            </w:pPr>
            <w:r>
              <w:rPr>
                <w:sz w:val="19"/>
                <w:szCs w:val="19"/>
              </w:rPr>
              <w:t xml:space="preserve">0.8766</w:t>
            </w:r>
          </w:p>
        </w:tc>
        <w:tc>
          <w:tcPr>
            <w:tcW w:type="dxa" w:w="3400"/>
            <w:tcMar>
              <w:top w:type="dxa" w:w="100"/>
              <w:left w:type="dxa" w:w="100"/>
              <w:bottom w:type="dxa" w:w="100"/>
              <w:right w:type="dxa" w:w="100"/>
            </w:tcMar>
            <w:vAlign w:val="center"/>
          </w:tcPr>
          <w:p>
            <w:pPr>
              <w:jc w:val="center"/>
            </w:pPr>
            <w:r>
              <w:rPr>
                <w:sz w:val="19"/>
                <w:szCs w:val="19"/>
              </w:rPr>
              <w:t xml:space="preserve">10,957,496</w:t>
            </w:r>
          </w:p>
        </w:tc>
      </w:tr>
      <w:tr>
        <w:tc>
          <w:tcPr>
            <w:tcW w:type="dxa" w:w="1600"/>
            <w:shd w:fill="F2F2F2" w:val="clear"/>
            <w:tcMar>
              <w:top w:type="dxa" w:w="100"/>
              <w:left w:type="dxa" w:w="100"/>
              <w:bottom w:type="dxa" w:w="100"/>
              <w:right w:type="dxa" w:w="100"/>
            </w:tcMar>
            <w:vAlign w:val="center"/>
          </w:tcPr>
          <w:p>
            <w:pPr>
              <w:jc w:val="center"/>
            </w:pPr>
            <w:r>
              <w:rPr>
                <w:sz w:val="19"/>
                <w:szCs w:val="19"/>
              </w:rPr>
              <w:t xml:space="preserve">2</w:t>
            </w:r>
          </w:p>
        </w:tc>
        <w:tc>
          <w:tcPr>
            <w:tcW w:type="dxa" w:w="2400"/>
            <w:shd w:fill="F2F2F2" w:val="clear"/>
            <w:tcMar>
              <w:top w:type="dxa" w:w="100"/>
              <w:left w:type="dxa" w:w="100"/>
              <w:bottom w:type="dxa" w:w="100"/>
              <w:right w:type="dxa" w:w="100"/>
            </w:tcMar>
            <w:vAlign w:val="center"/>
          </w:tcPr>
          <w:p>
            <w:pPr>
              <w:jc w:val="center"/>
            </w:pPr>
            <w:r>
              <w:rPr>
                <w:sz w:val="19"/>
                <w:szCs w:val="19"/>
              </w:rPr>
              <w:t xml:space="preserve">302</w:t>
            </w:r>
          </w:p>
        </w:tc>
        <w:tc>
          <w:tcPr>
            <w:tcW w:type="dxa" w:w="2600"/>
            <w:shd w:fill="F2F2F2" w:val="clear"/>
            <w:tcMar>
              <w:top w:type="dxa" w:w="100"/>
              <w:left w:type="dxa" w:w="100"/>
              <w:bottom w:type="dxa" w:w="100"/>
              <w:right w:type="dxa" w:w="100"/>
            </w:tcMar>
            <w:vAlign w:val="center"/>
          </w:tcPr>
          <w:p>
            <w:pPr>
              <w:jc w:val="center"/>
            </w:pPr>
            <w:r>
              <w:rPr>
                <w:sz w:val="19"/>
                <w:szCs w:val="19"/>
              </w:rPr>
              <w:t xml:space="preserve">0.8536</w:t>
            </w:r>
          </w:p>
        </w:tc>
        <w:tc>
          <w:tcPr>
            <w:tcW w:type="dxa" w:w="3400"/>
            <w:shd w:fill="F2F2F2" w:val="clear"/>
            <w:tcMar>
              <w:top w:type="dxa" w:w="100"/>
              <w:left w:type="dxa" w:w="100"/>
              <w:bottom w:type="dxa" w:w="100"/>
              <w:right w:type="dxa" w:w="100"/>
            </w:tcMar>
            <w:vAlign w:val="center"/>
          </w:tcPr>
          <w:p>
            <w:pPr>
              <w:jc w:val="center"/>
            </w:pPr>
            <w:r>
              <w:rPr>
                <w:sz w:val="19"/>
                <w:szCs w:val="19"/>
              </w:rPr>
              <w:t xml:space="preserve">10,669,452</w:t>
            </w:r>
          </w:p>
        </w:tc>
      </w:tr>
      <w:tr>
        <w:tc>
          <w:tcPr>
            <w:tcW w:type="dxa" w:w="1600"/>
            <w:tcMar>
              <w:top w:type="dxa" w:w="100"/>
              <w:left w:type="dxa" w:w="100"/>
              <w:bottom w:type="dxa" w:w="100"/>
              <w:right w:type="dxa" w:w="100"/>
            </w:tcMar>
            <w:vAlign w:val="center"/>
          </w:tcPr>
          <w:p>
            <w:pPr>
              <w:jc w:val="center"/>
            </w:pPr>
            <w:r>
              <w:rPr>
                <w:sz w:val="19"/>
                <w:szCs w:val="19"/>
              </w:rPr>
              <w:t xml:space="preserve">3</w:t>
            </w:r>
          </w:p>
        </w:tc>
        <w:tc>
          <w:tcPr>
            <w:tcW w:type="dxa" w:w="2400"/>
            <w:tcMar>
              <w:top w:type="dxa" w:w="100"/>
              <w:left w:type="dxa" w:w="100"/>
              <w:bottom w:type="dxa" w:w="100"/>
              <w:right w:type="dxa" w:w="100"/>
            </w:tcMar>
            <w:vAlign w:val="center"/>
          </w:tcPr>
          <w:p>
            <w:pPr>
              <w:jc w:val="center"/>
            </w:pPr>
            <w:r>
              <w:rPr>
                <w:sz w:val="19"/>
                <w:szCs w:val="19"/>
              </w:rPr>
              <w:t xml:space="preserve">264</w:t>
            </w:r>
          </w:p>
        </w:tc>
        <w:tc>
          <w:tcPr>
            <w:tcW w:type="dxa" w:w="2600"/>
            <w:tcMar>
              <w:top w:type="dxa" w:w="100"/>
              <w:left w:type="dxa" w:w="100"/>
              <w:bottom w:type="dxa" w:w="100"/>
              <w:right w:type="dxa" w:w="100"/>
            </w:tcMar>
            <w:vAlign w:val="center"/>
          </w:tcPr>
          <w:p>
            <w:pPr>
              <w:jc w:val="center"/>
            </w:pPr>
            <w:r>
              <w:rPr>
                <w:sz w:val="19"/>
                <w:szCs w:val="19"/>
              </w:rPr>
              <w:t xml:space="preserve">0.9345</w:t>
            </w:r>
          </w:p>
        </w:tc>
        <w:tc>
          <w:tcPr>
            <w:tcW w:type="dxa" w:w="3400"/>
            <w:tcMar>
              <w:top w:type="dxa" w:w="100"/>
              <w:left w:type="dxa" w:w="100"/>
              <w:bottom w:type="dxa" w:w="100"/>
              <w:right w:type="dxa" w:w="100"/>
            </w:tcMar>
            <w:vAlign w:val="center"/>
          </w:tcPr>
          <w:p>
            <w:pPr>
              <w:jc w:val="center"/>
            </w:pPr>
            <w:r>
              <w:rPr>
                <w:sz w:val="19"/>
                <w:szCs w:val="19"/>
              </w:rPr>
              <w:t xml:space="preserve">11,680,631</w:t>
            </w:r>
          </w:p>
        </w:tc>
      </w:tr>
      <w:tr>
        <w:tc>
          <w:tcPr>
            <w:tcW w:type="dxa" w:w="1600"/>
            <w:shd w:fill="F2F2F2" w:val="clear"/>
            <w:tcMar>
              <w:top w:type="dxa" w:w="100"/>
              <w:left w:type="dxa" w:w="100"/>
              <w:bottom w:type="dxa" w:w="100"/>
              <w:right w:type="dxa" w:w="100"/>
            </w:tcMar>
            <w:vAlign w:val="center"/>
          </w:tcPr>
          <w:p>
            <w:pPr>
              <w:jc w:val="center"/>
            </w:pPr>
            <w:r>
              <w:rPr>
                <w:sz w:val="19"/>
                <w:szCs w:val="19"/>
              </w:rPr>
              <w:t xml:space="preserve">4</w:t>
            </w:r>
          </w:p>
        </w:tc>
        <w:tc>
          <w:tcPr>
            <w:tcW w:type="dxa" w:w="2400"/>
            <w:shd w:fill="F2F2F2" w:val="clear"/>
            <w:tcMar>
              <w:top w:type="dxa" w:w="100"/>
              <w:left w:type="dxa" w:w="100"/>
              <w:bottom w:type="dxa" w:w="100"/>
              <w:right w:type="dxa" w:w="100"/>
            </w:tcMar>
            <w:vAlign w:val="center"/>
          </w:tcPr>
          <w:p>
            <w:pPr>
              <w:jc w:val="center"/>
            </w:pPr>
            <w:r>
              <w:rPr>
                <w:sz w:val="19"/>
                <w:szCs w:val="19"/>
              </w:rPr>
              <w:t xml:space="preserve">254</w:t>
            </w:r>
          </w:p>
        </w:tc>
        <w:tc>
          <w:tcPr>
            <w:tcW w:type="dxa" w:w="2600"/>
            <w:shd w:fill="F2F2F2" w:val="clear"/>
            <w:tcMar>
              <w:top w:type="dxa" w:w="100"/>
              <w:left w:type="dxa" w:w="100"/>
              <w:bottom w:type="dxa" w:w="100"/>
              <w:right w:type="dxa" w:w="100"/>
            </w:tcMar>
            <w:vAlign w:val="center"/>
          </w:tcPr>
          <w:p>
            <w:pPr>
              <w:jc w:val="center"/>
            </w:pPr>
            <w:r>
              <w:rPr>
                <w:sz w:val="19"/>
                <w:szCs w:val="19"/>
              </w:rPr>
              <w:t xml:space="preserve">0.8275</w:t>
            </w:r>
          </w:p>
        </w:tc>
        <w:tc>
          <w:tcPr>
            <w:tcW w:type="dxa" w:w="3400"/>
            <w:shd w:fill="F2F2F2" w:val="clear"/>
            <w:tcMar>
              <w:top w:type="dxa" w:w="100"/>
              <w:left w:type="dxa" w:w="100"/>
              <w:bottom w:type="dxa" w:w="100"/>
              <w:right w:type="dxa" w:w="100"/>
            </w:tcMar>
            <w:vAlign w:val="center"/>
          </w:tcPr>
          <w:p>
            <w:pPr>
              <w:jc w:val="center"/>
            </w:pPr>
            <w:r>
              <w:rPr>
                <w:sz w:val="19"/>
                <w:szCs w:val="19"/>
              </w:rPr>
              <w:t xml:space="preserve">10,343,857</w:t>
            </w:r>
          </w:p>
        </w:tc>
      </w:tr>
      <w:tr>
        <w:tc>
          <w:tcPr>
            <w:tcW w:type="dxa" w:w="1600"/>
            <w:tcMar>
              <w:top w:type="dxa" w:w="100"/>
              <w:left w:type="dxa" w:w="100"/>
              <w:bottom w:type="dxa" w:w="100"/>
              <w:right w:type="dxa" w:w="100"/>
            </w:tcMar>
            <w:vAlign w:val="center"/>
          </w:tcPr>
          <w:p>
            <w:pPr>
              <w:jc w:val="center"/>
            </w:pPr>
            <w:r>
              <w:rPr>
                <w:sz w:val="19"/>
                <w:szCs w:val="19"/>
              </w:rPr>
              <w:t xml:space="preserve">5</w:t>
            </w:r>
          </w:p>
        </w:tc>
        <w:tc>
          <w:tcPr>
            <w:tcW w:type="dxa" w:w="2400"/>
            <w:tcMar>
              <w:top w:type="dxa" w:w="100"/>
              <w:left w:type="dxa" w:w="100"/>
              <w:bottom w:type="dxa" w:w="100"/>
              <w:right w:type="dxa" w:w="100"/>
            </w:tcMar>
            <w:vAlign w:val="center"/>
          </w:tcPr>
          <w:p>
            <w:pPr>
              <w:jc w:val="center"/>
            </w:pPr>
            <w:r>
              <w:rPr>
                <w:sz w:val="19"/>
                <w:szCs w:val="19"/>
              </w:rPr>
              <w:t xml:space="preserve">255</w:t>
            </w:r>
          </w:p>
        </w:tc>
        <w:tc>
          <w:tcPr>
            <w:tcW w:type="dxa" w:w="2600"/>
            <w:tcMar>
              <w:top w:type="dxa" w:w="100"/>
              <w:left w:type="dxa" w:w="100"/>
              <w:bottom w:type="dxa" w:w="100"/>
              <w:right w:type="dxa" w:w="100"/>
            </w:tcMar>
            <w:vAlign w:val="center"/>
          </w:tcPr>
          <w:p>
            <w:pPr>
              <w:jc w:val="center"/>
            </w:pPr>
            <w:r>
              <w:rPr>
                <w:sz w:val="19"/>
                <w:szCs w:val="19"/>
              </w:rPr>
              <w:t xml:space="preserve">0.8193</w:t>
            </w:r>
          </w:p>
        </w:tc>
        <w:tc>
          <w:tcPr>
            <w:tcW w:type="dxa" w:w="3400"/>
            <w:tcMar>
              <w:top w:type="dxa" w:w="100"/>
              <w:left w:type="dxa" w:w="100"/>
              <w:bottom w:type="dxa" w:w="100"/>
              <w:right w:type="dxa" w:w="100"/>
            </w:tcMar>
            <w:vAlign w:val="center"/>
          </w:tcPr>
          <w:p>
            <w:pPr>
              <w:jc w:val="center"/>
            </w:pPr>
            <w:r>
              <w:rPr>
                <w:sz w:val="19"/>
                <w:szCs w:val="19"/>
              </w:rPr>
              <w:t xml:space="preserve">10,241,803</w:t>
            </w:r>
          </w:p>
        </w:tc>
      </w:tr>
    </w:tbl>
    <w:p>
      <w:pPr>
        <w:spacing w:after="200"/>
      </w:pPr>
      <w:r>
        <w:rPr>
          <w:i/>
          <w:iCs/>
          <w:color w:val="666666"/>
          <w:sz w:val="18"/>
          <w:szCs w:val="18"/>
        </w:rPr>
        <w:t xml:space="preserve">Expected hit count for 50,000,000 points is ≈39,270,000 (π/4 ≈ 0.7854 of the square). The unsynchronized counter recorded only 10.2–11.7 million hits — barely a quarter of the true value — giving π ≈ 0.82–0.93 instead of 3.14159. This is an even more severe loss than the 1.8–2.4 range described in the assignment text, and it is consistent across all 5 runs rather than randomly varying: with a field that is not volatile, the JIT is free to keep each thread's notion of totalHitsUnsafe cached in a register for long stretches instead of reading/writing main memory on every increment. Combined with lost read-modify-write updates from true interleaving, the vast majority of the 39 million increments are simply never observed by the other threads — not just occasionally clobbered.</w:t>
      </w:r>
    </w:p>
    <w:p>
      <w:pPr>
        <w:pStyle w:val="Heading2"/>
        <w:spacing w:after="160" w:before="320"/>
      </w:pPr>
      <w:r>
        <w:rPr>
          <w:b/>
          <w:bCs/>
          <w:color w:val="1A1A1A"/>
          <w:sz w:val="26"/>
          <w:szCs w:val="26"/>
        </w:rPr>
        <w:t xml:space="preserve">Part 2 — The Synchronization Trap (50,000,000 points, 4 threads)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900"/>
        <w:gridCol w:w="2500"/>
      </w:tblGrid>
      <w:tr>
        <w:trPr>
          <w:tblHeader/>
        </w:trPr>
        <w:tc>
          <w:tcPr>
            <w:tcW w:type="dxa" w:w="2600"/>
            <w:shd w:fill="2D3748" w:val="clear"/>
            <w:tcMar>
              <w:top w:type="dxa" w:w="100"/>
              <w:left w:type="dxa" w:w="100"/>
              <w:bottom w:type="dxa" w:w="100"/>
              <w:right w:type="dxa" w:w="100"/>
            </w:tcMar>
            <w:vAlign w:val="center"/>
          </w:tcPr>
          <w:p>
            <w:pPr>
              <w:jc w:val="center"/>
            </w:pPr>
            <w:r>
              <w:rPr>
                <w:b/>
                <w:bCs/>
                <w:color w:val="FFFFFF"/>
                <w:sz w:val="19"/>
                <w:szCs w:val="19"/>
              </w:rPr>
              <w:t xml:space="preserve">Version</w:t>
            </w:r>
          </w:p>
        </w:tc>
        <w:tc>
          <w:tcPr>
            <w:tcW w:type="dxa" w:w="1500"/>
            <w:shd w:fill="2D3748" w:val="clear"/>
            <w:tcMar>
              <w:top w:type="dxa" w:w="100"/>
              <w:left w:type="dxa" w:w="100"/>
              <w:bottom w:type="dxa" w:w="100"/>
              <w:right w:type="dxa" w:w="100"/>
            </w:tcMar>
            <w:vAlign w:val="center"/>
          </w:tcPr>
          <w:p>
            <w:pPr>
              <w:jc w:val="center"/>
            </w:pPr>
            <w:r>
              <w:rPr>
                <w:b/>
                <w:bCs/>
                <w:color w:val="FFFFFF"/>
                <w:sz w:val="19"/>
                <w:szCs w:val="19"/>
              </w:rPr>
              <w:t xml:space="preserve">Runtime (ms)</w:t>
            </w:r>
          </w:p>
        </w:tc>
        <w:tc>
          <w:tcPr>
            <w:tcW w:type="dxa" w:w="1500"/>
            <w:shd w:fill="2D3748" w:val="clear"/>
            <w:tcMar>
              <w:top w:type="dxa" w:w="100"/>
              <w:left w:type="dxa" w:w="100"/>
              <w:bottom w:type="dxa" w:w="100"/>
              <w:right w:type="dxa" w:w="100"/>
            </w:tcMar>
            <w:vAlign w:val="center"/>
          </w:tcPr>
          <w:p>
            <w:pPr>
              <w:jc w:val="center"/>
            </w:pPr>
            <w:r>
              <w:rPr>
                <w:b/>
                <w:bCs/>
                <w:color w:val="FFFFFF"/>
                <w:sz w:val="19"/>
                <w:szCs w:val="19"/>
              </w:rPr>
              <w:t xml:space="preserve">π (measured)</w:t>
            </w:r>
          </w:p>
        </w:tc>
        <w:tc>
          <w:tcPr>
            <w:tcW w:type="dxa" w:w="1900"/>
            <w:shd w:fill="2D3748" w:val="clear"/>
            <w:tcMar>
              <w:top w:type="dxa" w:w="100"/>
              <w:left w:type="dxa" w:w="100"/>
              <w:bottom w:type="dxa" w:w="100"/>
              <w:right w:type="dxa" w:w="100"/>
            </w:tcMar>
            <w:vAlign w:val="center"/>
          </w:tcPr>
          <w:p>
            <w:pPr>
              <w:jc w:val="center"/>
            </w:pPr>
            <w:r>
              <w:rPr>
                <w:b/>
                <w:bCs/>
                <w:color w:val="FFFFFF"/>
                <w:sz w:val="19"/>
                <w:szCs w:val="19"/>
              </w:rPr>
              <w:t xml:space="preserve">Hits recorded</w:t>
            </w:r>
          </w:p>
        </w:tc>
        <w:tc>
          <w:tcPr>
            <w:tcW w:type="dxa" w:w="2500"/>
            <w:shd w:fill="2D3748" w:val="clear"/>
            <w:tcMar>
              <w:top w:type="dxa" w:w="100"/>
              <w:left w:type="dxa" w:w="100"/>
              <w:bottom w:type="dxa" w:w="100"/>
              <w:right w:type="dxa" w:w="100"/>
            </w:tcMar>
            <w:vAlign w:val="center"/>
          </w:tcPr>
          <w:p>
            <w:pPr>
              <w:jc w:val="center"/>
            </w:pPr>
            <w:r>
              <w:rPr>
                <w:b/>
                <w:bCs/>
                <w:color w:val="FFFFFF"/>
                <w:sz w:val="19"/>
                <w:szCs w:val="19"/>
              </w:rPr>
              <w:t xml:space="preserve">Slowdown vs. 1 thread</w:t>
            </w:r>
          </w:p>
        </w:tc>
      </w:tr>
      <w:tr>
        <w:tc>
          <w:tcPr>
            <w:tcW w:type="dxa" w:w="2600"/>
            <w:tcMar>
              <w:top w:type="dxa" w:w="100"/>
              <w:left w:type="dxa" w:w="100"/>
              <w:bottom w:type="dxa" w:w="100"/>
              <w:right w:type="dxa" w:w="100"/>
            </w:tcMar>
            <w:vAlign w:val="center"/>
          </w:tcPr>
          <w:p>
            <w:pPr>
              <w:jc w:val="center"/>
            </w:pPr>
            <w:r>
              <w:rPr>
                <w:sz w:val="19"/>
                <w:szCs w:val="19"/>
              </w:rPr>
              <w:t xml:space="preserve">Single thread (baseline)</w:t>
            </w:r>
          </w:p>
        </w:tc>
        <w:tc>
          <w:tcPr>
            <w:tcW w:type="dxa" w:w="1500"/>
            <w:tcMar>
              <w:top w:type="dxa" w:w="100"/>
              <w:left w:type="dxa" w:w="100"/>
              <w:bottom w:type="dxa" w:w="100"/>
              <w:right w:type="dxa" w:w="100"/>
            </w:tcMar>
            <w:vAlign w:val="center"/>
          </w:tcPr>
          <w:p>
            <w:pPr>
              <w:jc w:val="center"/>
            </w:pPr>
            <w:r>
              <w:rPr>
                <w:sz w:val="19"/>
                <w:szCs w:val="19"/>
              </w:rPr>
              <w:t xml:space="preserve">277</w:t>
            </w:r>
          </w:p>
        </w:tc>
        <w:tc>
          <w:tcPr>
            <w:tcW w:type="dxa" w:w="1500"/>
            <w:tcMar>
              <w:top w:type="dxa" w:w="100"/>
              <w:left w:type="dxa" w:w="100"/>
              <w:bottom w:type="dxa" w:w="100"/>
              <w:right w:type="dxa" w:w="100"/>
            </w:tcMar>
            <w:vAlign w:val="center"/>
          </w:tcPr>
          <w:p>
            <w:pPr>
              <w:jc w:val="center"/>
            </w:pPr>
            <w:r>
              <w:rPr>
                <w:sz w:val="19"/>
                <w:szCs w:val="19"/>
              </w:rPr>
              <w:t xml:space="preserve">3.14178</w:t>
            </w:r>
          </w:p>
        </w:tc>
        <w:tc>
          <w:tcPr>
            <w:tcW w:type="dxa" w:w="1900"/>
            <w:tcMar>
              <w:top w:type="dxa" w:w="100"/>
              <w:left w:type="dxa" w:w="100"/>
              <w:bottom w:type="dxa" w:w="100"/>
              <w:right w:type="dxa" w:w="100"/>
            </w:tcMar>
            <w:vAlign w:val="center"/>
          </w:tcPr>
          <w:p>
            <w:pPr>
              <w:jc w:val="center"/>
            </w:pPr>
            <w:r>
              <w:rPr>
                <w:sz w:val="19"/>
                <w:szCs w:val="19"/>
              </w:rPr>
              <w:t xml:space="preserve">39,272,257</w:t>
            </w:r>
          </w:p>
        </w:tc>
        <w:tc>
          <w:tcPr>
            <w:tcW w:type="dxa" w:w="2500"/>
            <w:tcMar>
              <w:top w:type="dxa" w:w="100"/>
              <w:left w:type="dxa" w:w="100"/>
              <w:bottom w:type="dxa" w:w="100"/>
              <w:right w:type="dxa" w:w="100"/>
            </w:tcMar>
            <w:vAlign w:val="center"/>
          </w:tcPr>
          <w:p>
            <w:pPr>
              <w:jc w:val="center"/>
            </w:pPr>
            <w:r>
              <w:rPr>
                <w:sz w:val="19"/>
                <w:szCs w:val="19"/>
              </w:rPr>
              <w:t xml:space="preserve">1.00x</w:t>
            </w:r>
          </w:p>
        </w:tc>
      </w:tr>
      <w:tr>
        <w:tc>
          <w:tcPr>
            <w:tcW w:type="dxa" w:w="2600"/>
            <w:shd w:fill="F2F2F2" w:val="clear"/>
            <w:tcMar>
              <w:top w:type="dxa" w:w="100"/>
              <w:left w:type="dxa" w:w="100"/>
              <w:bottom w:type="dxa" w:w="100"/>
              <w:right w:type="dxa" w:w="100"/>
            </w:tcMar>
            <w:vAlign w:val="center"/>
          </w:tcPr>
          <w:p>
            <w:pPr>
              <w:jc w:val="center"/>
            </w:pPr>
            <w:r>
              <w:rPr>
                <w:sz w:val="19"/>
                <w:szCs w:val="19"/>
              </w:rPr>
              <w:t xml:space="preserve">synchronized</w:t>
            </w:r>
          </w:p>
        </w:tc>
        <w:tc>
          <w:tcPr>
            <w:tcW w:type="dxa" w:w="1500"/>
            <w:shd w:fill="F2F2F2" w:val="clear"/>
            <w:tcMar>
              <w:top w:type="dxa" w:w="100"/>
              <w:left w:type="dxa" w:w="100"/>
              <w:bottom w:type="dxa" w:w="100"/>
              <w:right w:type="dxa" w:w="100"/>
            </w:tcMar>
            <w:vAlign w:val="center"/>
          </w:tcPr>
          <w:p>
            <w:pPr>
              <w:jc w:val="center"/>
            </w:pPr>
            <w:r>
              <w:rPr>
                <w:sz w:val="19"/>
                <w:szCs w:val="19"/>
              </w:rPr>
              <w:t xml:space="preserve">1394</w:t>
            </w:r>
          </w:p>
        </w:tc>
        <w:tc>
          <w:tcPr>
            <w:tcW w:type="dxa" w:w="1500"/>
            <w:shd w:fill="F2F2F2" w:val="clear"/>
            <w:tcMar>
              <w:top w:type="dxa" w:w="100"/>
              <w:left w:type="dxa" w:w="100"/>
              <w:bottom w:type="dxa" w:w="100"/>
              <w:right w:type="dxa" w:w="100"/>
            </w:tcMar>
            <w:vAlign w:val="center"/>
          </w:tcPr>
          <w:p>
            <w:pPr>
              <w:jc w:val="center"/>
            </w:pPr>
            <w:r>
              <w:rPr>
                <w:sz w:val="19"/>
                <w:szCs w:val="19"/>
              </w:rPr>
              <w:t xml:space="preserve">3.14164</w:t>
            </w:r>
          </w:p>
        </w:tc>
        <w:tc>
          <w:tcPr>
            <w:tcW w:type="dxa" w:w="1900"/>
            <w:shd w:fill="F2F2F2" w:val="clear"/>
            <w:tcMar>
              <w:top w:type="dxa" w:w="100"/>
              <w:left w:type="dxa" w:w="100"/>
              <w:bottom w:type="dxa" w:w="100"/>
              <w:right w:type="dxa" w:w="100"/>
            </w:tcMar>
            <w:vAlign w:val="center"/>
          </w:tcPr>
          <w:p>
            <w:pPr>
              <w:jc w:val="center"/>
            </w:pPr>
            <w:r>
              <w:rPr>
                <w:sz w:val="19"/>
                <w:szCs w:val="19"/>
              </w:rPr>
              <w:t xml:space="preserve">39,270,529</w:t>
            </w:r>
          </w:p>
        </w:tc>
        <w:tc>
          <w:tcPr>
            <w:tcW w:type="dxa" w:w="2500"/>
            <w:shd w:fill="F2F2F2" w:val="clear"/>
            <w:tcMar>
              <w:top w:type="dxa" w:w="100"/>
              <w:left w:type="dxa" w:w="100"/>
              <w:bottom w:type="dxa" w:w="100"/>
              <w:right w:type="dxa" w:w="100"/>
            </w:tcMar>
            <w:vAlign w:val="center"/>
          </w:tcPr>
          <w:p>
            <w:pPr>
              <w:jc w:val="center"/>
            </w:pPr>
            <w:r>
              <w:rPr>
                <w:sz w:val="19"/>
                <w:szCs w:val="19"/>
              </w:rPr>
              <w:t xml:space="preserve">5.03x slower</w:t>
            </w:r>
          </w:p>
        </w:tc>
      </w:tr>
      <w:tr>
        <w:tc>
          <w:tcPr>
            <w:tcW w:type="dxa" w:w="2600"/>
            <w:tcMar>
              <w:top w:type="dxa" w:w="100"/>
              <w:left w:type="dxa" w:w="100"/>
              <w:bottom w:type="dxa" w:w="100"/>
              <w:right w:type="dxa" w:w="100"/>
            </w:tcMar>
            <w:vAlign w:val="center"/>
          </w:tcPr>
          <w:p>
            <w:pPr>
              <w:jc w:val="center"/>
            </w:pPr>
            <w:r>
              <w:rPr>
                <w:sz w:val="19"/>
                <w:szCs w:val="19"/>
              </w:rPr>
              <w:t xml:space="preserve">AtomicLong.incrementAndGet()</w:t>
            </w:r>
          </w:p>
        </w:tc>
        <w:tc>
          <w:tcPr>
            <w:tcW w:type="dxa" w:w="1500"/>
            <w:tcMar>
              <w:top w:type="dxa" w:w="100"/>
              <w:left w:type="dxa" w:w="100"/>
              <w:bottom w:type="dxa" w:w="100"/>
              <w:right w:type="dxa" w:w="100"/>
            </w:tcMar>
            <w:vAlign w:val="center"/>
          </w:tcPr>
          <w:p>
            <w:pPr>
              <w:jc w:val="center"/>
            </w:pPr>
            <w:r>
              <w:rPr>
                <w:sz w:val="19"/>
                <w:szCs w:val="19"/>
              </w:rPr>
              <w:t xml:space="preserve">433</w:t>
            </w:r>
          </w:p>
        </w:tc>
        <w:tc>
          <w:tcPr>
            <w:tcW w:type="dxa" w:w="1500"/>
            <w:tcMar>
              <w:top w:type="dxa" w:w="100"/>
              <w:left w:type="dxa" w:w="100"/>
              <w:bottom w:type="dxa" w:w="100"/>
              <w:right w:type="dxa" w:w="100"/>
            </w:tcMar>
            <w:vAlign w:val="center"/>
          </w:tcPr>
          <w:p>
            <w:pPr>
              <w:jc w:val="center"/>
            </w:pPr>
            <w:r>
              <w:rPr>
                <w:sz w:val="19"/>
                <w:szCs w:val="19"/>
              </w:rPr>
              <w:t xml:space="preserve">3.14146</w:t>
            </w:r>
          </w:p>
        </w:tc>
        <w:tc>
          <w:tcPr>
            <w:tcW w:type="dxa" w:w="1900"/>
            <w:tcMar>
              <w:top w:type="dxa" w:w="100"/>
              <w:left w:type="dxa" w:w="100"/>
              <w:bottom w:type="dxa" w:w="100"/>
              <w:right w:type="dxa" w:w="100"/>
            </w:tcMar>
            <w:vAlign w:val="center"/>
          </w:tcPr>
          <w:p>
            <w:pPr>
              <w:jc w:val="center"/>
            </w:pPr>
            <w:r>
              <w:rPr>
                <w:sz w:val="19"/>
                <w:szCs w:val="19"/>
              </w:rPr>
              <w:t xml:space="preserve">39,268,243</w:t>
            </w:r>
          </w:p>
        </w:tc>
        <w:tc>
          <w:tcPr>
            <w:tcW w:type="dxa" w:w="2500"/>
            <w:tcMar>
              <w:top w:type="dxa" w:w="100"/>
              <w:left w:type="dxa" w:w="100"/>
              <w:bottom w:type="dxa" w:w="100"/>
              <w:right w:type="dxa" w:w="100"/>
            </w:tcMar>
            <w:vAlign w:val="center"/>
          </w:tcPr>
          <w:p>
            <w:pPr>
              <w:jc w:val="center"/>
            </w:pPr>
            <w:r>
              <w:rPr>
                <w:sz w:val="19"/>
                <w:szCs w:val="19"/>
              </w:rPr>
              <w:t xml:space="preserve">1.56x slower</w:t>
            </w:r>
          </w:p>
        </w:tc>
      </w:tr>
    </w:tbl>
    <w:p>
      <w:pPr>
        <w:spacing w:after="200"/>
      </w:pPr>
      <w:r>
        <w:rPr>
          <w:i/>
          <w:iCs/>
          <w:color w:val="666666"/>
          <w:sz w:val="18"/>
          <w:szCs w:val="18"/>
        </w:rPr>
        <w:t xml:space="preserve">Both fixes recover the correct value of π (accurate to 4 decimal places), confirming the race is gone. But synchronized is roughly 5x slower than a single thread (1394 ms vs 277 ms), and even the lighter-weight AtomicLong is still 1.56x slower than one thread, despite using 4 cores. Both confirm the assignment's core lesson: correctness was bought at the cost of throughput.</w:t>
      </w:r>
    </w:p>
    <w:p>
      <w:pPr>
        <w:pStyle w:val="Heading2"/>
        <w:spacing w:after="160" w:before="320"/>
      </w:pPr>
      <w:r>
        <w:rPr>
          <w:b/>
          <w:bCs/>
          <w:color w:val="1A1A1A"/>
          <w:sz w:val="26"/>
          <w:szCs w:val="26"/>
        </w:rPr>
        <w:t xml:space="preserve">Part 3 — OpenMP-Style Reduction (100,000,000 iterations)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3200"/>
      </w:tblGrid>
      <w:tr>
        <w:trPr>
          <w:tblHeader/>
        </w:trPr>
        <w:tc>
          <w:tcPr>
            <w:tcW w:type="dxa" w:w="2200"/>
            <w:shd w:fill="2D3748" w:val="clear"/>
            <w:tcMar>
              <w:top w:type="dxa" w:w="100"/>
              <w:left w:type="dxa" w:w="100"/>
              <w:bottom w:type="dxa" w:w="100"/>
              <w:right w:type="dxa" w:w="100"/>
            </w:tcMar>
            <w:vAlign w:val="center"/>
          </w:tcPr>
          <w:p>
            <w:pPr>
              <w:jc w:val="center"/>
            </w:pPr>
            <w:r>
              <w:rPr>
                <w:b/>
                <w:bCs/>
                <w:color w:val="FFFFFF"/>
                <w:sz w:val="19"/>
                <w:szCs w:val="19"/>
              </w:rPr>
              <w:t xml:space="preserve">Threads (T)</w:t>
            </w:r>
          </w:p>
        </w:tc>
        <w:tc>
          <w:tcPr>
            <w:tcW w:type="dxa" w:w="2200"/>
            <w:shd w:fill="2D3748" w:val="clear"/>
            <w:tcMar>
              <w:top w:type="dxa" w:w="100"/>
              <w:left w:type="dxa" w:w="100"/>
              <w:bottom w:type="dxa" w:w="100"/>
              <w:right w:type="dxa" w:w="100"/>
            </w:tcMar>
            <w:vAlign w:val="center"/>
          </w:tcPr>
          <w:p>
            <w:pPr>
              <w:jc w:val="center"/>
            </w:pPr>
            <w:r>
              <w:rPr>
                <w:b/>
                <w:bCs/>
                <w:color w:val="FFFFFF"/>
                <w:sz w:val="19"/>
                <w:szCs w:val="19"/>
              </w:rPr>
              <w:t xml:space="preserve">Runtime (ms)</w:t>
            </w:r>
          </w:p>
        </w:tc>
        <w:tc>
          <w:tcPr>
            <w:tcW w:type="dxa" w:w="2400"/>
            <w:shd w:fill="2D3748" w:val="clear"/>
            <w:tcMar>
              <w:top w:type="dxa" w:w="100"/>
              <w:left w:type="dxa" w:w="100"/>
              <w:bottom w:type="dxa" w:w="100"/>
              <w:right w:type="dxa" w:w="100"/>
            </w:tcMar>
            <w:vAlign w:val="center"/>
          </w:tcPr>
          <w:p>
            <w:pPr>
              <w:jc w:val="center"/>
            </w:pPr>
            <w:r>
              <w:rPr>
                <w:b/>
                <w:bCs/>
                <w:color w:val="FFFFFF"/>
                <w:sz w:val="19"/>
                <w:szCs w:val="19"/>
              </w:rPr>
              <w:t xml:space="preserve">Speedup (T1/TN)</w:t>
            </w:r>
          </w:p>
        </w:tc>
        <w:tc>
          <w:tcPr>
            <w:tcW w:type="dxa" w:w="3200"/>
            <w:shd w:fill="2D3748" w:val="clear"/>
            <w:tcMar>
              <w:top w:type="dxa" w:w="100"/>
              <w:left w:type="dxa" w:w="100"/>
              <w:bottom w:type="dxa" w:w="100"/>
              <w:right w:type="dxa" w:w="100"/>
            </w:tcMar>
            <w:vAlign w:val="center"/>
          </w:tcPr>
          <w:p>
            <w:pPr>
              <w:jc w:val="center"/>
            </w:pPr>
            <w:r>
              <w:rPr>
                <w:b/>
                <w:bCs/>
                <w:color w:val="FFFFFF"/>
                <w:sz w:val="19"/>
                <w:szCs w:val="19"/>
              </w:rPr>
              <w:t xml:space="preserve">Efficiency (Speedup/T)</w:t>
            </w:r>
          </w:p>
        </w:tc>
      </w:tr>
      <w:tr>
        <w:tc>
          <w:tcPr>
            <w:tcW w:type="dxa" w:w="2200"/>
            <w:tcMar>
              <w:top w:type="dxa" w:w="100"/>
              <w:left w:type="dxa" w:w="100"/>
              <w:bottom w:type="dxa" w:w="100"/>
              <w:right w:type="dxa" w:w="100"/>
            </w:tcMar>
            <w:vAlign w:val="center"/>
          </w:tcPr>
          <w:p>
            <w:pPr>
              <w:jc w:val="center"/>
            </w:pPr>
            <w:r>
              <w:rPr>
                <w:sz w:val="19"/>
                <w:szCs w:val="19"/>
              </w:rPr>
              <w:t xml:space="preserve">1 (baseline)</w:t>
            </w:r>
          </w:p>
        </w:tc>
        <w:tc>
          <w:tcPr>
            <w:tcW w:type="dxa" w:w="2200"/>
            <w:tcMar>
              <w:top w:type="dxa" w:w="100"/>
              <w:left w:type="dxa" w:w="100"/>
              <w:bottom w:type="dxa" w:w="100"/>
              <w:right w:type="dxa" w:w="100"/>
            </w:tcMar>
            <w:vAlign w:val="center"/>
          </w:tcPr>
          <w:p>
            <w:pPr>
              <w:jc w:val="center"/>
            </w:pPr>
            <w:r>
              <w:rPr>
                <w:sz w:val="19"/>
                <w:szCs w:val="19"/>
              </w:rPr>
              <w:t xml:space="preserve">536</w:t>
            </w:r>
          </w:p>
        </w:tc>
        <w:tc>
          <w:tcPr>
            <w:tcW w:type="dxa" w:w="2400"/>
            <w:tcMar>
              <w:top w:type="dxa" w:w="100"/>
              <w:left w:type="dxa" w:w="100"/>
              <w:bottom w:type="dxa" w:w="100"/>
              <w:right w:type="dxa" w:w="100"/>
            </w:tcMar>
            <w:vAlign w:val="center"/>
          </w:tcPr>
          <w:p>
            <w:pPr>
              <w:jc w:val="center"/>
            </w:pPr>
            <w:r>
              <w:rPr>
                <w:sz w:val="19"/>
                <w:szCs w:val="19"/>
              </w:rPr>
              <w:t xml:space="preserve">1.00x</w:t>
            </w:r>
          </w:p>
        </w:tc>
        <w:tc>
          <w:tcPr>
            <w:tcW w:type="dxa" w:w="3200"/>
            <w:tcMar>
              <w:top w:type="dxa" w:w="100"/>
              <w:left w:type="dxa" w:w="100"/>
              <w:bottom w:type="dxa" w:w="100"/>
              <w:right w:type="dxa" w:w="100"/>
            </w:tcMar>
            <w:vAlign w:val="center"/>
          </w:tcPr>
          <w:p>
            <w:pPr>
              <w:jc w:val="center"/>
            </w:pPr>
            <w:r>
              <w:rPr>
                <w:sz w:val="19"/>
                <w:szCs w:val="19"/>
              </w:rPr>
              <w:t xml:space="preserve">100.0%</w:t>
            </w:r>
          </w:p>
        </w:tc>
      </w:tr>
      <w:tr>
        <w:tc>
          <w:tcPr>
            <w:tcW w:type="dxa" w:w="2200"/>
            <w:shd w:fill="F2F2F2" w:val="clear"/>
            <w:tcMar>
              <w:top w:type="dxa" w:w="100"/>
              <w:left w:type="dxa" w:w="100"/>
              <w:bottom w:type="dxa" w:w="100"/>
              <w:right w:type="dxa" w:w="100"/>
            </w:tcMar>
            <w:vAlign w:val="center"/>
          </w:tcPr>
          <w:p>
            <w:pPr>
              <w:jc w:val="center"/>
            </w:pPr>
            <w:r>
              <w:rPr>
                <w:sz w:val="19"/>
                <w:szCs w:val="19"/>
              </w:rPr>
              <w:t xml:space="preserve">2</w:t>
            </w:r>
          </w:p>
        </w:tc>
        <w:tc>
          <w:tcPr>
            <w:tcW w:type="dxa" w:w="2200"/>
            <w:shd w:fill="F2F2F2" w:val="clear"/>
            <w:tcMar>
              <w:top w:type="dxa" w:w="100"/>
              <w:left w:type="dxa" w:w="100"/>
              <w:bottom w:type="dxa" w:w="100"/>
              <w:right w:type="dxa" w:w="100"/>
            </w:tcMar>
            <w:vAlign w:val="center"/>
          </w:tcPr>
          <w:p>
            <w:pPr>
              <w:jc w:val="center"/>
            </w:pPr>
            <w:r>
              <w:rPr>
                <w:sz w:val="19"/>
                <w:szCs w:val="19"/>
              </w:rPr>
              <w:t xml:space="preserve">293</w:t>
            </w:r>
          </w:p>
        </w:tc>
        <w:tc>
          <w:tcPr>
            <w:tcW w:type="dxa" w:w="2400"/>
            <w:shd w:fill="F2F2F2" w:val="clear"/>
            <w:tcMar>
              <w:top w:type="dxa" w:w="100"/>
              <w:left w:type="dxa" w:w="100"/>
              <w:bottom w:type="dxa" w:w="100"/>
              <w:right w:type="dxa" w:w="100"/>
            </w:tcMar>
            <w:vAlign w:val="center"/>
          </w:tcPr>
          <w:p>
            <w:pPr>
              <w:jc w:val="center"/>
            </w:pPr>
            <w:r>
              <w:rPr>
                <w:sz w:val="19"/>
                <w:szCs w:val="19"/>
              </w:rPr>
              <w:t xml:space="preserve">1.83x</w:t>
            </w:r>
          </w:p>
        </w:tc>
        <w:tc>
          <w:tcPr>
            <w:tcW w:type="dxa" w:w="3200"/>
            <w:shd w:fill="F2F2F2" w:val="clear"/>
            <w:tcMar>
              <w:top w:type="dxa" w:w="100"/>
              <w:left w:type="dxa" w:w="100"/>
              <w:bottom w:type="dxa" w:w="100"/>
              <w:right w:type="dxa" w:w="100"/>
            </w:tcMar>
            <w:vAlign w:val="center"/>
          </w:tcPr>
          <w:p>
            <w:pPr>
              <w:jc w:val="center"/>
            </w:pPr>
            <w:r>
              <w:rPr>
                <w:sz w:val="19"/>
                <w:szCs w:val="19"/>
              </w:rPr>
              <w:t xml:space="preserve">91.5%</w:t>
            </w:r>
          </w:p>
        </w:tc>
      </w:tr>
      <w:tr>
        <w:tc>
          <w:tcPr>
            <w:tcW w:type="dxa" w:w="2200"/>
            <w:tcMar>
              <w:top w:type="dxa" w:w="100"/>
              <w:left w:type="dxa" w:w="100"/>
              <w:bottom w:type="dxa" w:w="100"/>
              <w:right w:type="dxa" w:w="100"/>
            </w:tcMar>
            <w:vAlign w:val="center"/>
          </w:tcPr>
          <w:p>
            <w:pPr>
              <w:jc w:val="center"/>
            </w:pPr>
            <w:r>
              <w:rPr>
                <w:sz w:val="19"/>
                <w:szCs w:val="19"/>
              </w:rPr>
              <w:t xml:space="preserve">4</w:t>
            </w:r>
          </w:p>
        </w:tc>
        <w:tc>
          <w:tcPr>
            <w:tcW w:type="dxa" w:w="2200"/>
            <w:tcMar>
              <w:top w:type="dxa" w:w="100"/>
              <w:left w:type="dxa" w:w="100"/>
              <w:bottom w:type="dxa" w:w="100"/>
              <w:right w:type="dxa" w:w="100"/>
            </w:tcMar>
            <w:vAlign w:val="center"/>
          </w:tcPr>
          <w:p>
            <w:pPr>
              <w:jc w:val="center"/>
            </w:pPr>
            <w:r>
              <w:rPr>
                <w:sz w:val="19"/>
                <w:szCs w:val="19"/>
              </w:rPr>
              <w:t xml:space="preserve">157</w:t>
            </w:r>
          </w:p>
        </w:tc>
        <w:tc>
          <w:tcPr>
            <w:tcW w:type="dxa" w:w="2400"/>
            <w:tcMar>
              <w:top w:type="dxa" w:w="100"/>
              <w:left w:type="dxa" w:w="100"/>
              <w:bottom w:type="dxa" w:w="100"/>
              <w:right w:type="dxa" w:w="100"/>
            </w:tcMar>
            <w:vAlign w:val="center"/>
          </w:tcPr>
          <w:p>
            <w:pPr>
              <w:jc w:val="center"/>
            </w:pPr>
            <w:r>
              <w:rPr>
                <w:sz w:val="19"/>
                <w:szCs w:val="19"/>
              </w:rPr>
              <w:t xml:space="preserve">3.41x</w:t>
            </w:r>
          </w:p>
        </w:tc>
        <w:tc>
          <w:tcPr>
            <w:tcW w:type="dxa" w:w="3200"/>
            <w:tcMar>
              <w:top w:type="dxa" w:w="100"/>
              <w:left w:type="dxa" w:w="100"/>
              <w:bottom w:type="dxa" w:w="100"/>
              <w:right w:type="dxa" w:w="100"/>
            </w:tcMar>
            <w:vAlign w:val="center"/>
          </w:tcPr>
          <w:p>
            <w:pPr>
              <w:jc w:val="center"/>
            </w:pPr>
            <w:r>
              <w:rPr>
                <w:sz w:val="19"/>
                <w:szCs w:val="19"/>
              </w:rPr>
              <w:t xml:space="preserve">85.4%</w:t>
            </w:r>
          </w:p>
        </w:tc>
      </w:tr>
      <w:tr>
        <w:tc>
          <w:tcPr>
            <w:tcW w:type="dxa" w:w="2200"/>
            <w:shd w:fill="F2F2F2" w:val="clear"/>
            <w:tcMar>
              <w:top w:type="dxa" w:w="100"/>
              <w:left w:type="dxa" w:w="100"/>
              <w:bottom w:type="dxa" w:w="100"/>
              <w:right w:type="dxa" w:w="100"/>
            </w:tcMar>
            <w:vAlign w:val="center"/>
          </w:tcPr>
          <w:p>
            <w:pPr>
              <w:jc w:val="center"/>
            </w:pPr>
            <w:r>
              <w:rPr>
                <w:sz w:val="19"/>
                <w:szCs w:val="19"/>
              </w:rPr>
              <w:t xml:space="preserve">8</w:t>
            </w:r>
          </w:p>
        </w:tc>
        <w:tc>
          <w:tcPr>
            <w:tcW w:type="dxa" w:w="2200"/>
            <w:shd w:fill="F2F2F2" w:val="clear"/>
            <w:tcMar>
              <w:top w:type="dxa" w:w="100"/>
              <w:left w:type="dxa" w:w="100"/>
              <w:bottom w:type="dxa" w:w="100"/>
              <w:right w:type="dxa" w:w="100"/>
            </w:tcMar>
            <w:vAlign w:val="center"/>
          </w:tcPr>
          <w:p>
            <w:pPr>
              <w:jc w:val="center"/>
            </w:pPr>
            <w:r>
              <w:rPr>
                <w:sz w:val="19"/>
                <w:szCs w:val="19"/>
              </w:rPr>
              <w:t xml:space="preserve">116</w:t>
            </w:r>
          </w:p>
        </w:tc>
        <w:tc>
          <w:tcPr>
            <w:tcW w:type="dxa" w:w="2400"/>
            <w:shd w:fill="F2F2F2" w:val="clear"/>
            <w:tcMar>
              <w:top w:type="dxa" w:w="100"/>
              <w:left w:type="dxa" w:w="100"/>
              <w:bottom w:type="dxa" w:w="100"/>
              <w:right w:type="dxa" w:w="100"/>
            </w:tcMar>
            <w:vAlign w:val="center"/>
          </w:tcPr>
          <w:p>
            <w:pPr>
              <w:jc w:val="center"/>
            </w:pPr>
            <w:r>
              <w:rPr>
                <w:sz w:val="19"/>
                <w:szCs w:val="19"/>
              </w:rPr>
              <w:t xml:space="preserve">4.62x</w:t>
            </w:r>
          </w:p>
        </w:tc>
        <w:tc>
          <w:tcPr>
            <w:tcW w:type="dxa" w:w="3200"/>
            <w:shd w:fill="F2F2F2" w:val="clear"/>
            <w:tcMar>
              <w:top w:type="dxa" w:w="100"/>
              <w:left w:type="dxa" w:w="100"/>
              <w:bottom w:type="dxa" w:w="100"/>
              <w:right w:type="dxa" w:w="100"/>
            </w:tcMar>
            <w:vAlign w:val="center"/>
          </w:tcPr>
          <w:p>
            <w:pPr>
              <w:jc w:val="center"/>
            </w:pPr>
            <w:r>
              <w:rPr>
                <w:sz w:val="19"/>
                <w:szCs w:val="19"/>
              </w:rPr>
              <w:t xml:space="preserve">57.8%</w:t>
            </w:r>
          </w:p>
        </w:tc>
      </w:tr>
      <w:tr>
        <w:tc>
          <w:tcPr>
            <w:tcW w:type="dxa" w:w="2200"/>
            <w:tcMar>
              <w:top w:type="dxa" w:w="100"/>
              <w:left w:type="dxa" w:w="100"/>
              <w:bottom w:type="dxa" w:w="100"/>
              <w:right w:type="dxa" w:w="100"/>
            </w:tcMar>
            <w:vAlign w:val="center"/>
          </w:tcPr>
          <w:p>
            <w:pPr>
              <w:jc w:val="center"/>
            </w:pPr>
            <w:r>
              <w:rPr>
                <w:sz w:val="19"/>
                <w:szCs w:val="19"/>
              </w:rPr>
              <w:t xml:space="preserve">16</w:t>
            </w:r>
          </w:p>
        </w:tc>
        <w:tc>
          <w:tcPr>
            <w:tcW w:type="dxa" w:w="2200"/>
            <w:tcMar>
              <w:top w:type="dxa" w:w="100"/>
              <w:left w:type="dxa" w:w="100"/>
              <w:bottom w:type="dxa" w:w="100"/>
              <w:right w:type="dxa" w:w="100"/>
            </w:tcMar>
            <w:vAlign w:val="center"/>
          </w:tcPr>
          <w:p>
            <w:pPr>
              <w:jc w:val="center"/>
            </w:pPr>
            <w:r>
              <w:rPr>
                <w:sz w:val="19"/>
                <w:szCs w:val="19"/>
              </w:rPr>
              <w:t xml:space="preserve">80</w:t>
            </w:r>
          </w:p>
        </w:tc>
        <w:tc>
          <w:tcPr>
            <w:tcW w:type="dxa" w:w="2400"/>
            <w:tcMar>
              <w:top w:type="dxa" w:w="100"/>
              <w:left w:type="dxa" w:w="100"/>
              <w:bottom w:type="dxa" w:w="100"/>
              <w:right w:type="dxa" w:w="100"/>
            </w:tcMar>
            <w:vAlign w:val="center"/>
          </w:tcPr>
          <w:p>
            <w:pPr>
              <w:jc w:val="center"/>
            </w:pPr>
            <w:r>
              <w:rPr>
                <w:sz w:val="19"/>
                <w:szCs w:val="19"/>
              </w:rPr>
              <w:t xml:space="preserve">6.70x</w:t>
            </w:r>
          </w:p>
        </w:tc>
        <w:tc>
          <w:tcPr>
            <w:tcW w:type="dxa" w:w="3200"/>
            <w:tcMar>
              <w:top w:type="dxa" w:w="100"/>
              <w:left w:type="dxa" w:w="100"/>
              <w:bottom w:type="dxa" w:w="100"/>
              <w:right w:type="dxa" w:w="100"/>
            </w:tcMar>
            <w:vAlign w:val="center"/>
          </w:tcPr>
          <w:p>
            <w:pPr>
              <w:jc w:val="center"/>
            </w:pPr>
            <w:r>
              <w:rPr>
                <w:sz w:val="19"/>
                <w:szCs w:val="19"/>
              </w:rPr>
              <w:t xml:space="preserve">41.9%</w:t>
            </w:r>
          </w:p>
        </w:tc>
      </w:tr>
      <w:tr>
        <w:tc>
          <w:tcPr>
            <w:tcW w:type="dxa" w:w="2200"/>
            <w:shd w:fill="F2F2F2" w:val="clear"/>
            <w:tcMar>
              <w:top w:type="dxa" w:w="100"/>
              <w:left w:type="dxa" w:w="100"/>
              <w:bottom w:type="dxa" w:w="100"/>
              <w:right w:type="dxa" w:w="100"/>
            </w:tcMar>
            <w:vAlign w:val="center"/>
          </w:tcPr>
          <w:p>
            <w:pPr>
              <w:jc w:val="center"/>
            </w:pPr>
            <w:r>
              <w:rPr>
                <w:sz w:val="19"/>
                <w:szCs w:val="19"/>
              </w:rPr>
              <w:t xml:space="preserve">32</w:t>
            </w:r>
          </w:p>
        </w:tc>
        <w:tc>
          <w:tcPr>
            <w:tcW w:type="dxa" w:w="2200"/>
            <w:shd w:fill="F2F2F2" w:val="clear"/>
            <w:tcMar>
              <w:top w:type="dxa" w:w="100"/>
              <w:left w:type="dxa" w:w="100"/>
              <w:bottom w:type="dxa" w:w="100"/>
              <w:right w:type="dxa" w:w="100"/>
            </w:tcMar>
            <w:vAlign w:val="center"/>
          </w:tcPr>
          <w:p>
            <w:pPr>
              <w:jc w:val="center"/>
            </w:pPr>
            <w:r>
              <w:rPr>
                <w:sz w:val="19"/>
                <w:szCs w:val="19"/>
              </w:rPr>
              <w:t xml:space="preserve">86</w:t>
            </w:r>
          </w:p>
        </w:tc>
        <w:tc>
          <w:tcPr>
            <w:tcW w:type="dxa" w:w="2400"/>
            <w:shd w:fill="F2F2F2" w:val="clear"/>
            <w:tcMar>
              <w:top w:type="dxa" w:w="100"/>
              <w:left w:type="dxa" w:w="100"/>
              <w:bottom w:type="dxa" w:w="100"/>
              <w:right w:type="dxa" w:w="100"/>
            </w:tcMar>
            <w:vAlign w:val="center"/>
          </w:tcPr>
          <w:p>
            <w:pPr>
              <w:jc w:val="center"/>
            </w:pPr>
            <w:r>
              <w:rPr>
                <w:sz w:val="19"/>
                <w:szCs w:val="19"/>
              </w:rPr>
              <w:t xml:space="preserve">6.23x</w:t>
            </w:r>
          </w:p>
        </w:tc>
        <w:tc>
          <w:tcPr>
            <w:tcW w:type="dxa" w:w="3200"/>
            <w:shd w:fill="F2F2F2" w:val="clear"/>
            <w:tcMar>
              <w:top w:type="dxa" w:w="100"/>
              <w:left w:type="dxa" w:w="100"/>
              <w:bottom w:type="dxa" w:w="100"/>
              <w:right w:type="dxa" w:w="100"/>
            </w:tcMar>
            <w:vAlign w:val="center"/>
          </w:tcPr>
          <w:p>
            <w:pPr>
              <w:jc w:val="center"/>
            </w:pPr>
            <w:r>
              <w:rPr>
                <w:sz w:val="19"/>
                <w:szCs w:val="19"/>
              </w:rPr>
              <w:t xml:space="preserve">19.5%</w:t>
            </w:r>
          </w:p>
        </w:tc>
      </w:tr>
    </w:tbl>
    <w:p>
      <w:pPr>
        <w:spacing w:after="200"/>
      </w:pPr>
      <w:r>
        <w:rPr>
          <w:i/>
          <w:iCs/>
          <w:color w:val="666666"/>
          <w:sz w:val="18"/>
          <w:szCs w:val="18"/>
        </w:rPr>
        <w:t xml:space="preserve">Measured with MonteCarloPi.java, part3 mode, on the student's machine (VS Code / Eclipse Adoptium JDK 17). π came out accurate (≈3.1414–3.1417) for every thread count, confirming the reduction has no data race.</w:t>
      </w:r>
    </w:p>
    <w:p>
      <w:pPr>
        <w:pStyle w:val="Heading2"/>
        <w:spacing w:after="160" w:before="320"/>
      </w:pPr>
      <w:r>
        <w:rPr>
          <w:b/>
          <w:bCs/>
          <w:color w:val="1A1A1A"/>
          <w:sz w:val="26"/>
          <w:szCs w:val="26"/>
        </w:rPr>
        <w:t xml:space="preserve">Question 1: Why didn't 16 threads run twice as fast as 8 threads?</w:t>
      </w:r>
    </w:p>
    <w:p>
      <w:pPr>
        <w:spacing w:after="160"/>
      </w:pPr>
      <w:r>
        <w:rPr>
          <w:sz w:val="21"/>
          <w:szCs w:val="21"/>
        </w:rPr>
        <w:t xml:space="preserve">Going from 8 to 16 threads only improved speedup from 4.62x to 6.70x — a gain of about 1.45x, not the 2x we'd expect if 16 threads each had a dedicated core. That gap is the signature of running out of physical cores.</w:t>
      </w:r>
    </w:p>
    <w:p>
      <w:pPr>
        <w:spacing w:after="160"/>
      </w:pPr>
      <w:r>
        <w:rPr>
          <w:sz w:val="21"/>
          <w:szCs w:val="21"/>
        </w:rPr>
        <w:t xml:space="preserve">The measurements point to a CPU with 8 physical cores and 16 logical threads (SMT / Hyper-Threading). The first 8 threads (T=1 to T=8) each get a whole physical core to themselves, so efficiency stays reasonably high (down to 57.8% at T=8, mostly from thread creation/join overhead and shared last-level-cache and memory-bandwidth contention). Threads 9–16 don't get new cores — they are scheduled onto the same physical cores as an existing thread, sharing that core's execution units, instruction decoder and cache ports. Two logical threads on one core can overlap some stalls (e.g. one thread computes while the other waits on a cache miss), which is why performance still improves — just not by a full 2x. Beyond the hardware thread count (T=32 here), there are literally more runnable threads than places to run them, so the OS scheduler must time-slice, adding context-switch overhead with no new compute capacity — which is exactly why T=32 (86 ms) was slightly slower than T=16 (80 ms) and efficiency collapsed to 19.5%.</w:t>
      </w:r>
    </w:p>
    <w:p>
      <w:pPr>
        <w:spacing w:after="160"/>
      </w:pPr>
      <w:r>
        <w:rPr>
          <w:sz w:val="21"/>
          <w:szCs w:val="21"/>
        </w:rPr>
        <w:t xml:space="preserve">In short: speedup tracks physical cores almost linearly, then flattens once logical threads start sharing a core, and can reverse once threads outnumber both physical and logical execution contexts.</w:t>
      </w:r>
    </w:p>
    <w:p>
      <w:pPr>
        <w:pStyle w:val="Heading2"/>
        <w:spacing w:after="160" w:before="320"/>
      </w:pPr>
      <w:r>
        <w:rPr>
          <w:b/>
          <w:bCs/>
          <w:color w:val="1A1A1A"/>
          <w:sz w:val="26"/>
          <w:szCs w:val="26"/>
        </w:rPr>
        <w:t xml:space="preserve">Question 2: Why was the synchronized version in Part 2 slower than a single thread?</w:t>
      </w:r>
    </w:p>
    <w:p>
      <w:pPr>
        <w:spacing w:after="160"/>
      </w:pPr>
      <w:r>
        <w:rPr>
          <w:sz w:val="21"/>
          <w:szCs w:val="21"/>
        </w:rPr>
        <w:t xml:space="preserve">In Part 2, every single hit inside the loop takes the monitor lock (synchronized(lock) { totalHitsSync++; }) before it can update the shared counter. With ~78.5% of the 50,000,000 points landing inside the quarter-circle, that's on the order of 39 million lock acquisitions being fought over by 4 threads — and the measured result shows exactly the predicted cost: 1394 ms with synchronized vs. 277 ms on a single thread, a 5.03x slowdown, even though 4 cores were doing the work.</w:t>
      </w:r>
    </w:p>
    <w:p>
      <w:pPr>
        <w:spacing w:after="160"/>
      </w:pPr>
      <w:r>
        <w:rPr>
          <w:sz w:val="21"/>
          <w:szCs w:val="21"/>
        </w:rPr>
        <w:t xml:space="preserve">Taking a lock is not just "one extra instruction" — it forces cache-coherency traffic between cores. The cache line holding totalHitsSync has to be invalidated and reloaded (MESI protocol "cache line bouncing") every time a different core writes to it, and the CPU must issue a memory/bus-level fence so all cores see a consistent value. When four cores are all trying to grab the same lock roughly 39 million times, each core spends the overwhelming majority of its cycles stalled — waiting for the cache line to arrive, waiting for the lock to be free, or blocked by the OS scheduler — instead of doing the actual x²+y²≤ 1 computation. That's the "95% of cycles stalling on memory bus locks" described in the assignment.</w:t>
      </w:r>
    </w:p>
    <w:p>
      <w:pPr>
        <w:spacing w:after="160"/>
      </w:pPr>
      <w:r>
        <w:rPr>
          <w:sz w:val="21"/>
          <w:szCs w:val="21"/>
        </w:rPr>
        <w:t xml:space="preserve">A single thread never pays any of this cost: there is no contention, no cache-line invalidation, and no lock to acquire, so all of its cycles go directly into useful work. This is why adding parallelism with a naive shared lock can make a program slower than running on one core — the fix in Part 3 (thread-local counters, combined once at the end) removes the per-iteration lock entirely and restores real speedup.</w:t>
      </w:r>
    </w:p>
    <w:p>
      <w:pPr>
        <w:spacing w:before="200"/>
      </w:pPr>
      <w:r>
        <w:rPr>
          <w:i/>
          <w:iCs/>
          <w:color w:val="666666"/>
          <w:sz w:val="18"/>
          <w:szCs w:val="18"/>
        </w:rPr>
        <w:t xml:space="preserve">Prepared from MonteCarloPi.java (Parts 1–3) — see accompanying source file.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2026-09-17T16:41:34.959Z</dcterms:created>
  <dcterms:modified xsi:type="dcterms:W3CDTF">2026-09-17T16:41:34.969Z</dcterms:modified>
</cp:coreProperties>
</file>

<file path=docProps/custom.xml><?xml version="1.0" encoding="utf-8"?>
<Properties xmlns="http://schemas.openxmlformats.org/officeDocument/2006/custom-properties" xmlns:vt="http://schemas.openxmlformats.org/officeDocument/2006/docPropsVTypes"/>
</file>