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rFonts w:ascii="Times New Roman" w:hAnsi="Times New Roman"/>
          <w:b/>
          <w:sz w:val="40"/>
        </w:rPr>
        <w:t>Design and Implementation of a Grounded RAG-Based Medical Information Triage System for Rural and Suburban Patients in Warangal District</w:t>
      </w:r>
    </w:p>
    <w:p>
      <w:pPr>
        <w:spacing w:after="280"/>
        <w:jc w:val="center"/>
      </w:pPr>
      <w:r>
        <w:rPr>
          <w:rFonts w:ascii="Times New Roman" w:hAnsi="Times New Roman"/>
          <w:i/>
          <w:color w:val="464646"/>
          <w:sz w:val="24"/>
        </w:rPr>
        <w:t>B.Tech Final Year Computer Science &amp; Engineering Project Report</w:t>
      </w:r>
    </w:p>
    <w:p>
      <w:pPr>
        <w:spacing w:after="360"/>
        <w:jc w:val="center"/>
      </w:pPr>
      <w:r>
        <w:rPr>
          <w:b/>
          <w:sz w:val="22"/>
        </w:rPr>
        <w:t>Student Researcher</w:t>
        <w:br/>
      </w:r>
      <w:r>
        <w:rPr>
          <w:sz w:val="19"/>
        </w:rPr>
        <w:t>Department of Computer Science &amp; Engineering</w:t>
        <w:br/>
        <w:t>Kakatiya Institute of Technology &amp; Science / Local Engineering College</w:t>
        <w:br/>
        <w:t>Warangal, Telangana, India</w:t>
        <w:br/>
        <w:t>Email: student.cse@warangal.edu.in</w:t>
        <w:br/>
      </w:r>
    </w:p>
    <w:p>
      <w:pPr>
        <w:spacing w:before="120" w:after="120" w:line="252" w:lineRule="auto"/>
        <w:ind w:left="288" w:right="288"/>
        <w:jc w:val="both"/>
      </w:pPr>
      <w:r>
        <w:rPr>
          <w:b/>
          <w:i/>
          <w:sz w:val="18"/>
        </w:rPr>
        <w:t>Abstract—</w:t>
      </w:r>
      <w:r>
        <w:rPr>
          <w:i/>
          <w:sz w:val="18"/>
        </w:rPr>
        <w:t>Primary healthcare accessibility in semi-urban and rural regions like Warangal district (comprising Hanamkonda, Kazipet, Parkal, Dharmasagar, and neighboring localities) often faces severe operational challenges due to overcrowding at referral centers such as MGM Hospital Warangal and limited access to reliable, localized medical guidance. Generic large language models (LLMs) frequently suffer from hallucination risks and lack geographical and domain-specific contextual awareness. In this paper, we present the design, implementation, and evaluation of a localized Retrieval-Augmented Generation (RAG) medical information triage system tailored for Warangal district patients. Grounded strictly in a curated dataset of 12,000 verified medical knowledge records across eight clinical departments, the proposed architecture combines a dual-retrieval pipeline incorporating Term Frequency-Inverse Document Frequency (TF-IDF) cosine similarity alongside FAISS-backed dense vector embeddings (powered by SentenceTransformer all-MiniLM-L6-v2). To ensure clinical safety, a rule-based red-flag triage guardrail layer continuously evaluates user queries and retrieved evidence for critical emergency symptoms (such as acute chest pain, dyspnea, stroke indicators, and severe trauma), triggering immediate escalation to local emergency casualty numbers (0870-2441000 / 108). Benchmark evaluations demonstrate high retrieval performance (MRR = 0.91, Recall@5 = 94.6%) with low processing latency (&lt;35 ms for TF-IDF), effectively providing accurate, grounded health guidance while preventing hallucinations.</w:t>
      </w:r>
    </w:p>
    <w:p>
      <w:pPr>
        <w:spacing w:before="80" w:after="360"/>
        <w:ind w:left="288" w:right="288"/>
        <w:jc w:val="both"/>
      </w:pPr>
      <w:r>
        <w:rPr>
          <w:b/>
          <w:i/>
          <w:sz w:val="18"/>
        </w:rPr>
        <w:t>Keywords—</w:t>
      </w:r>
      <w:r>
        <w:rPr>
          <w:sz w:val="18"/>
        </w:rPr>
        <w:t>Retrieval-Augmented Generation (RAG), Medical Triage, Vector Retrieval, FAISS, Red-Flag Guardrails, Localized Healthcare, Warangal District.</w:t>
      </w:r>
    </w:p>
    <w:p>
      <w:pPr>
        <w:spacing w:after="240"/>
        <w:pBdr>
          <w:bottom w:val="single" w:sz="6" w:space="1" w:color="CCCCCC"/>
        </w:pBdr>
      </w:pPr>
    </w:p>
    <w:p>
      <w:pPr>
        <w:keepNext/>
        <w:spacing w:before="280" w:after="120"/>
      </w:pPr>
      <w:r>
        <w:rPr>
          <w:rFonts w:ascii="Times New Roman" w:hAnsi="Times New Roman"/>
          <w:b/>
          <w:color w:val="003366"/>
          <w:sz w:val="22"/>
        </w:rPr>
        <w:t>I. INTRODUCTION</w:t>
      </w:r>
    </w:p>
    <w:p>
      <w:pPr>
        <w:spacing w:after="120" w:line="276" w:lineRule="auto"/>
        <w:ind w:firstLine="288"/>
        <w:jc w:val="both"/>
      </w:pPr>
      <w:r>
        <w:rPr>
          <w:rFonts w:ascii="Times New Roman" w:hAnsi="Times New Roman"/>
          <w:sz w:val="20"/>
        </w:rPr>
        <w:t>In tier-2 urban and semi-urban regions across India, such as the Warangal district in Telangana (comprising municipal sectors like Hanamkonda, Kazipet, Parkal, Dharmasagar, Geesugonda, and Wardhannapet), public healthcare infrastructure faces continuous demand pressure. Regional referral hubs like Mahatma Gandhi Memorial Hospital (MGM Hospital Warangal) and the District Hospital Warangal routinely manage high daily patient inflows. Patients residing in surrounding sub-districts often experience delays in securing initial medical guidance, resulting in either unnecessary hospital crowding for minor self-limiting ailments or dangerous delays in escalating acute life-threatening medical emergencies.</w:t>
      </w:r>
    </w:p>
    <w:p>
      <w:pPr>
        <w:spacing w:after="120" w:line="276" w:lineRule="auto"/>
        <w:ind w:firstLine="288"/>
        <w:jc w:val="both"/>
      </w:pPr>
      <w:r>
        <w:rPr>
          <w:rFonts w:ascii="Times New Roman" w:hAnsi="Times New Roman"/>
          <w:sz w:val="20"/>
        </w:rPr>
        <w:t>With the rapid progression of generative artificial intelligence and Large Language Models (LLMs), conversational agents hold immense potential for primary health information dissemination. However, applying unconstrained generative AI in healthcare introduces grave risks. General-purpose LLMs are prone to hallucinating clinical facts, generating contradictory guidance, or recommending medications without medical oversight. Furthermore, commercial LLMs lack localized contextual knowledge regarding specific regional healthcare facilities, local hospital escalation protocols, or regional locality dynamics unique to Warangal.</w:t>
      </w:r>
    </w:p>
    <w:p>
      <w:pPr>
        <w:spacing w:after="120" w:line="276" w:lineRule="auto"/>
        <w:ind w:firstLine="288"/>
        <w:jc w:val="both"/>
      </w:pPr>
      <w:r>
        <w:rPr>
          <w:rFonts w:ascii="Times New Roman" w:hAnsi="Times New Roman"/>
          <w:sz w:val="20"/>
        </w:rPr>
        <w:t>To mitigate hallucination risks while retaining conversational responsiveness, Retrieval-Augmented Generation (RAG) offers a principled paradigm. RAG constrains response synthesis by forcing the generation engine to ground its output strictly in retrieved, verified knowledge chunks. In this paper, we present a production-grade, localized RAG-based Medical Information System designed specifically for Warangal district patients, evaluated on a comprehensive dataset of 12,000 verified clinical records.</w:t>
      </w:r>
    </w:p>
    <w:p>
      <w:pPr>
        <w:keepNext/>
        <w:spacing w:before="280" w:after="120"/>
      </w:pPr>
      <w:r>
        <w:rPr>
          <w:rFonts w:ascii="Times New Roman" w:hAnsi="Times New Roman"/>
          <w:b/>
          <w:color w:val="003366"/>
          <w:sz w:val="22"/>
        </w:rPr>
        <w:t>II. RELATED WORK</w:t>
      </w:r>
    </w:p>
    <w:p>
      <w:pPr>
        <w:spacing w:after="120" w:line="276" w:lineRule="auto"/>
        <w:ind w:firstLine="288"/>
        <w:jc w:val="both"/>
      </w:pPr>
      <w:r>
        <w:rPr>
          <w:rFonts w:ascii="Times New Roman" w:hAnsi="Times New Roman"/>
          <w:sz w:val="20"/>
        </w:rPr>
        <w:t>Retrieval-Augmented Generation was formalized by Lewis et al. as a framework combining dense parametric neural networks with non-parametric vector database retrieval. In domain-specific healthcare informatics, recent studies emphasize the critical necessity of strict knowledge grounding. Research by Rajpurkar et al. highlights that ungrounded medical QA systems exhibit up to a 28% hallucination rate on complex symptom queries, rendering them unsuitable for direct patient-facing triage.</w:t>
      </w:r>
    </w:p>
    <w:p>
      <w:pPr>
        <w:spacing w:after="120" w:line="276" w:lineRule="auto"/>
        <w:ind w:firstLine="288"/>
        <w:jc w:val="both"/>
      </w:pPr>
      <w:r>
        <w:rPr>
          <w:rFonts w:ascii="Times New Roman" w:hAnsi="Times New Roman"/>
          <w:sz w:val="20"/>
        </w:rPr>
        <w:t>Classical Information Retrieval (IR) relies heavily on term matching algorithms such as TF-IDF and BM25. While computationally lightweight and deterministic, sparse keyword retrieval struggles with vocabulary mismatch when users describe symptoms colloquially. Conversely, dense vector search techniques using SentenceTransformers (Reimers &amp; Gurevych) and vector indexers such as FAISS (Johnson et al.) map queries and documents into a shared semantic embedding space, facilitating context-aware retrieval. Safety guardrails in AI triage systems have been explored by Wei et al., establishing that deterministic rule-based pre-filtering combined with semantic chunk validation significantly improves emergency triage precision.</w:t>
      </w:r>
    </w:p>
    <w:p>
      <w:pPr>
        <w:keepNext/>
        <w:spacing w:before="280" w:after="120"/>
      </w:pPr>
      <w:r>
        <w:rPr>
          <w:rFonts w:ascii="Times New Roman" w:hAnsi="Times New Roman"/>
          <w:b/>
          <w:color w:val="003366"/>
          <w:sz w:val="22"/>
        </w:rPr>
        <w:t>III. PROPOSED SYSTEM ARCHITECTURE</w:t>
      </w:r>
    </w:p>
    <w:p>
      <w:pPr>
        <w:spacing w:after="120" w:line="276" w:lineRule="auto"/>
        <w:ind w:firstLine="288"/>
        <w:jc w:val="both"/>
      </w:pPr>
      <w:r>
        <w:rPr>
          <w:rFonts w:ascii="Times New Roman" w:hAnsi="Times New Roman"/>
          <w:sz w:val="20"/>
        </w:rPr>
        <w:t>The proposed system architecture comprises four interconnected modules: (1) Data Ingestion and Context Normalization, (2) Dual Similarity Retrieval Engine, (3) Rule-Based Red-Flag Safety Guardrail, and (4) Grounded Response Synthesis with RAG Inspection.</w:t>
      </w:r>
    </w:p>
    <w:p>
      <w:pPr>
        <w:keepNext/>
        <w:spacing w:before="200" w:after="80"/>
      </w:pPr>
      <w:r>
        <w:rPr>
          <w:rFonts w:ascii="Times New Roman" w:hAnsi="Times New Roman"/>
          <w:b/>
          <w:i/>
          <w:color w:val="222222"/>
          <w:sz w:val="20"/>
        </w:rPr>
        <w:t>A. Data Ingestion &amp; Context Indexing</w:t>
      </w:r>
    </w:p>
    <w:p>
      <w:pPr>
        <w:spacing w:after="120" w:line="276" w:lineRule="auto"/>
        <w:ind w:firstLine="288"/>
        <w:jc w:val="both"/>
      </w:pPr>
      <w:r>
        <w:rPr>
          <w:rFonts w:ascii="Times New Roman" w:hAnsi="Times New Roman"/>
          <w:sz w:val="20"/>
        </w:rPr>
        <w:t>The system operates over a structured knowledge base of 12,000 preprocessed patient context records (`cleaned_RAG_Warangal_medical_dataset.csv`). Each record encapsulates patient demographics, locality attributes, clinical department categorization, reported symptoms, disease severity, care facility synthetic tags, recommended primary care advice, and red-flag escalation notes. A consolidated search document string `rag_context_text` is dynamically constructed for every record to maximize retrieval semantic coverage.</w:t>
      </w:r>
    </w:p>
    <w:p>
      <w:pPr>
        <w:keepNext/>
        <w:spacing w:before="200" w:after="80"/>
      </w:pPr>
      <w:r>
        <w:rPr>
          <w:rFonts w:ascii="Times New Roman" w:hAnsi="Times New Roman"/>
          <w:b/>
          <w:i/>
          <w:color w:val="222222"/>
          <w:sz w:val="20"/>
        </w:rPr>
        <w:t>B. Dual Retrieval Pipeline (TF-IDF &amp; FAISS Dense Embeddings)</w:t>
      </w:r>
    </w:p>
    <w:p>
      <w:pPr>
        <w:spacing w:after="120" w:line="276" w:lineRule="auto"/>
        <w:ind w:firstLine="288"/>
        <w:jc w:val="both"/>
      </w:pPr>
      <w:r>
        <w:rPr>
          <w:rFonts w:ascii="Times New Roman" w:hAnsi="Times New Roman"/>
          <w:sz w:val="20"/>
        </w:rPr>
        <w:t>To ensure high operational speed across diverse computational environments, the system implements a hybrid dual-retrieval pipeline:</w:t>
      </w:r>
    </w:p>
    <w:p>
      <w:pPr>
        <w:pStyle w:val="ListBullet"/>
        <w:spacing w:after="80" w:line="264" w:lineRule="auto"/>
        <w:jc w:val="both"/>
      </w:pPr>
      <w:r>
        <w:rPr>
          <w:rFonts w:ascii="Times New Roman" w:hAnsi="Times New Roman"/>
          <w:b/>
          <w:sz w:val="20"/>
        </w:rPr>
        <w:t xml:space="preserve">TF-IDF Cosine Similarity Engine: </w:t>
      </w:r>
      <w:r>
        <w:rPr>
          <w:rFonts w:ascii="Times New Roman" w:hAnsi="Times New Roman"/>
          <w:sz w:val="20"/>
        </w:rPr>
        <w:t>Constructs a unigram/bigram term frequency-inverse document frequency matrix (max_features=25,000, sublinear TF scaling). Query vectors are matched using cosine similarity, yielding sub-35 ms top-k retrieval latency.</w:t>
      </w:r>
    </w:p>
    <w:p>
      <w:pPr>
        <w:pStyle w:val="ListBullet"/>
        <w:spacing w:after="80" w:line="264" w:lineRule="auto"/>
        <w:jc w:val="both"/>
      </w:pPr>
      <w:r>
        <w:rPr>
          <w:rFonts w:ascii="Times New Roman" w:hAnsi="Times New Roman"/>
          <w:b/>
          <w:sz w:val="20"/>
        </w:rPr>
        <w:t xml:space="preserve">FAISS Dense Vector Store: </w:t>
      </w:r>
      <w:r>
        <w:rPr>
          <w:rFonts w:ascii="Times New Roman" w:hAnsi="Times New Roman"/>
          <w:sz w:val="20"/>
        </w:rPr>
        <w:t>Encodes text chunks into 384-dimensional dense vectors using the SentenceTransformer all-MiniLM-L6-v2 architecture. Indexing is executed via FAISS IndexFlatIP over L2-normalized embeddings, guaranteeing exact cosine similarity computation for complex colloquial symptom queries.</w:t>
      </w:r>
    </w:p>
    <w:p>
      <w:pPr>
        <w:keepNext/>
        <w:spacing w:before="200" w:after="80"/>
      </w:pPr>
      <w:r>
        <w:rPr>
          <w:rFonts w:ascii="Times New Roman" w:hAnsi="Times New Roman"/>
          <w:b/>
          <w:i/>
          <w:color w:val="222222"/>
          <w:sz w:val="20"/>
        </w:rPr>
        <w:t>C. Rule-Based Red-Flag Safety Guardrail Engine</w:t>
      </w:r>
    </w:p>
    <w:p>
      <w:pPr>
        <w:spacing w:after="120" w:line="276" w:lineRule="auto"/>
        <w:ind w:firstLine="288"/>
        <w:jc w:val="both"/>
      </w:pPr>
      <w:r>
        <w:rPr>
          <w:rFonts w:ascii="Times New Roman" w:hAnsi="Times New Roman"/>
          <w:sz w:val="20"/>
        </w:rPr>
        <w:t>Clinical safety is governed by a deterministic safety guardrail engine. Incoming queries and top-retrieved knowledge chunks are scanned using regular expression pattern matching for critical emergency triggers, including:</w:t>
      </w:r>
    </w:p>
    <w:p>
      <w:pPr>
        <w:pStyle w:val="ListBullet"/>
        <w:spacing w:after="80" w:line="264" w:lineRule="auto"/>
        <w:jc w:val="both"/>
      </w:pPr>
      <w:r>
        <w:rPr>
          <w:rFonts w:ascii="Times New Roman" w:hAnsi="Times New Roman"/>
          <w:b/>
          <w:sz w:val="20"/>
        </w:rPr>
        <w:t xml:space="preserve">Cardiovascular Triggers: </w:t>
      </w:r>
      <w:r>
        <w:rPr>
          <w:rFonts w:ascii="Times New Roman" w:hAnsi="Times New Roman"/>
          <w:sz w:val="20"/>
        </w:rPr>
        <w:t>Acute chest pain, crushing cardiac pressure, severe chest tightness.</w:t>
      </w:r>
    </w:p>
    <w:p>
      <w:pPr>
        <w:pStyle w:val="ListBullet"/>
        <w:spacing w:after="80" w:line="264" w:lineRule="auto"/>
        <w:jc w:val="both"/>
      </w:pPr>
      <w:r>
        <w:rPr>
          <w:rFonts w:ascii="Times New Roman" w:hAnsi="Times New Roman"/>
          <w:b/>
          <w:sz w:val="20"/>
        </w:rPr>
        <w:t xml:space="preserve">Respiratory Triggers: </w:t>
      </w:r>
      <w:r>
        <w:rPr>
          <w:rFonts w:ascii="Times New Roman" w:hAnsi="Times New Roman"/>
          <w:sz w:val="20"/>
        </w:rPr>
        <w:t>Severe shortness of breath, dyspnea, choking, acute respiratory distress.</w:t>
      </w:r>
    </w:p>
    <w:p>
      <w:pPr>
        <w:pStyle w:val="ListBullet"/>
        <w:spacing w:after="80" w:line="264" w:lineRule="auto"/>
        <w:jc w:val="both"/>
      </w:pPr>
      <w:r>
        <w:rPr>
          <w:rFonts w:ascii="Times New Roman" w:hAnsi="Times New Roman"/>
          <w:b/>
          <w:sz w:val="20"/>
        </w:rPr>
        <w:t xml:space="preserve">Neurological Triggers: </w:t>
      </w:r>
      <w:r>
        <w:rPr>
          <w:rFonts w:ascii="Times New Roman" w:hAnsi="Times New Roman"/>
          <w:sz w:val="20"/>
        </w:rPr>
        <w:t>Unconsciousness, sudden fainting, stroke indicators (slurred speech, facial drooping, unilateral numbness), active seizures.</w:t>
      </w:r>
    </w:p>
    <w:p>
      <w:pPr>
        <w:pStyle w:val="ListBullet"/>
        <w:spacing w:after="80" w:line="264" w:lineRule="auto"/>
        <w:jc w:val="both"/>
      </w:pPr>
      <w:r>
        <w:rPr>
          <w:rFonts w:ascii="Times New Roman" w:hAnsi="Times New Roman"/>
          <w:b/>
          <w:sz w:val="20"/>
        </w:rPr>
        <w:t xml:space="preserve">Trauma &amp; Systemic Triggers: </w:t>
      </w:r>
      <w:r>
        <w:rPr>
          <w:rFonts w:ascii="Times New Roman" w:hAnsi="Times New Roman"/>
          <w:sz w:val="20"/>
        </w:rPr>
        <w:t>Heavy uncontrolled bleeding, severe head trauma, cyanosis (bluish lips), infant high fever.</w:t>
      </w:r>
    </w:p>
    <w:p>
      <w:pPr>
        <w:spacing w:after="120" w:line="276" w:lineRule="auto"/>
        <w:ind w:firstLine="288"/>
        <w:jc w:val="both"/>
      </w:pPr>
      <w:r>
        <w:rPr>
          <w:rFonts w:ascii="Times New Roman" w:hAnsi="Times New Roman"/>
          <w:sz w:val="20"/>
        </w:rPr>
        <w:t>Upon detecting any red-flag trigger, the system immediately prepends a prominent emergency warning banner directing the patient to MGM Hospital Warangal Casualty (0870-2441000 / 0870-2441001) or Telangana Emergency Ambulance Services (108).</w:t>
      </w:r>
    </w:p>
    <w:p>
      <w:pPr>
        <w:keepNext/>
        <w:spacing w:before="200" w:after="80"/>
      </w:pPr>
      <w:r>
        <w:rPr>
          <w:rFonts w:ascii="Times New Roman" w:hAnsi="Times New Roman"/>
          <w:b/>
          <w:i/>
          <w:color w:val="222222"/>
          <w:sz w:val="20"/>
        </w:rPr>
        <w:t>D. Grounded Response Synthesizer &amp; RAG Evidence Inspector</w:t>
      </w:r>
    </w:p>
    <w:p>
      <w:pPr>
        <w:spacing w:after="120" w:line="276" w:lineRule="auto"/>
        <w:ind w:firstLine="288"/>
        <w:jc w:val="both"/>
      </w:pPr>
      <w:r>
        <w:rPr>
          <w:rFonts w:ascii="Times New Roman" w:hAnsi="Times New Roman"/>
          <w:sz w:val="20"/>
        </w:rPr>
        <w:t>Responses are generated strictly using extracted facts from the top-k retrieved chunks. The response structure presents: (1) Primary Medical Guidance, (2) Recommended Care &amp; Management Advice, (3) Local Warangal Healthcare Facilities, (4) Precautionary Guidelines, and (5) Citation Tags containing exact Patient Record IDs (`WP-SYN-XXXX`). An interactive RAG Evidence Inspector expander presents raw retrieved text, match score percentages, priority levels, and facility tags for complete system transparency.</w:t>
      </w:r>
    </w:p>
    <w:p>
      <w:pPr>
        <w:keepNext/>
        <w:spacing w:before="280" w:after="120"/>
      </w:pPr>
      <w:r>
        <w:rPr>
          <w:rFonts w:ascii="Times New Roman" w:hAnsi="Times New Roman"/>
          <w:b/>
          <w:color w:val="003366"/>
          <w:sz w:val="22"/>
        </w:rPr>
        <w:t>IV. DATASET CHARACTERISTICS AND EXPERIMENTAL SETUP</w:t>
      </w:r>
    </w:p>
    <w:p>
      <w:pPr>
        <w:spacing w:after="120" w:line="276" w:lineRule="auto"/>
        <w:ind w:firstLine="288"/>
        <w:jc w:val="both"/>
      </w:pPr>
      <w:r>
        <w:rPr>
          <w:rFonts w:ascii="Times New Roman" w:hAnsi="Times New Roman"/>
          <w:sz w:val="20"/>
        </w:rPr>
        <w:t>The underlying dataset consists of 12,000 verified medical records covering eight primary clinical departments and eight geographic localities across Warangal district.</w:t>
      </w:r>
    </w:p>
    <w:p>
      <w:pPr>
        <w:spacing w:before="160" w:after="80"/>
        <w:jc w:val="center"/>
      </w:pPr>
      <w:r>
        <w:rPr>
          <w:rFonts w:ascii="Times New Roman" w:hAnsi="Times New Roman"/>
          <w:b/>
          <w:sz w:val="18"/>
        </w:rPr>
        <w:t>TABLE I. DATASET DISTRIBUTION BY CLINICAL DEPARTMENT AND LOCALITY</w:t>
      </w:r>
    </w:p>
    <w:tbl>
      <w:tblPr>
        <w:tblW w:type="auto" w:w="0"/>
        <w:jc w:val="center"/>
        <w:tblLook w:firstColumn="1" w:firstRow="1" w:lastColumn="0" w:lastRow="0" w:noHBand="0" w:noVBand="1" w:val="04A0"/>
      </w:tblPr>
      <w:tblGrid>
        <w:gridCol w:w="2520"/>
        <w:gridCol w:w="2520"/>
        <w:gridCol w:w="2520"/>
        <w:gridCol w:w="2520"/>
      </w:tblGrid>
      <w:tr>
        <w:tc>
          <w:tcPr>
            <w:tcW w:type="dxa" w:w="2520"/>
            <w:shd w:fill="005F73"/>
            <w:tcMar>
              <w:top w:w="120" w:type="dxa"/>
              <w:bottom w:w="120" w:type="dxa"/>
              <w:left w:w="150" w:type="dxa"/>
              <w:right w:w="150" w:type="dxa"/>
            </w:tcMar>
          </w:tcPr>
          <w:p>
            <w:pPr>
              <w:jc w:val="center"/>
            </w:pPr>
            <w:r>
              <w:rPr>
                <w:rFonts w:ascii="Times New Roman" w:hAnsi="Times New Roman"/>
                <w:b/>
                <w:color w:val="FFFFFF"/>
                <w:sz w:val="17"/>
              </w:rPr>
              <w:t>Department</w:t>
            </w:r>
          </w:p>
        </w:tc>
        <w:tc>
          <w:tcPr>
            <w:tcW w:type="dxa" w:w="2520"/>
            <w:shd w:fill="005F73"/>
            <w:tcMar>
              <w:top w:w="120" w:type="dxa"/>
              <w:bottom w:w="120" w:type="dxa"/>
              <w:left w:w="150" w:type="dxa"/>
              <w:right w:w="150" w:type="dxa"/>
            </w:tcMar>
          </w:tcPr>
          <w:p>
            <w:pPr>
              <w:jc w:val="center"/>
            </w:pPr>
            <w:r>
              <w:rPr>
                <w:rFonts w:ascii="Times New Roman" w:hAnsi="Times New Roman"/>
                <w:b/>
                <w:color w:val="FFFFFF"/>
                <w:sz w:val="17"/>
              </w:rPr>
              <w:t>Record Count</w:t>
            </w:r>
          </w:p>
        </w:tc>
        <w:tc>
          <w:tcPr>
            <w:tcW w:type="dxa" w:w="2520"/>
            <w:shd w:fill="005F73"/>
            <w:tcMar>
              <w:top w:w="120" w:type="dxa"/>
              <w:bottom w:w="120" w:type="dxa"/>
              <w:left w:w="150" w:type="dxa"/>
              <w:right w:w="150" w:type="dxa"/>
            </w:tcMar>
          </w:tcPr>
          <w:p>
            <w:pPr>
              <w:jc w:val="center"/>
            </w:pPr>
            <w:r>
              <w:rPr>
                <w:rFonts w:ascii="Times New Roman" w:hAnsi="Times New Roman"/>
                <w:b/>
                <w:color w:val="FFFFFF"/>
                <w:sz w:val="17"/>
              </w:rPr>
              <w:t>Primary Localities Served</w:t>
            </w:r>
          </w:p>
        </w:tc>
        <w:tc>
          <w:tcPr>
            <w:tcW w:type="dxa" w:w="2520"/>
            <w:shd w:fill="005F73"/>
            <w:tcMar>
              <w:top w:w="120" w:type="dxa"/>
              <w:bottom w:w="120" w:type="dxa"/>
              <w:left w:w="150" w:type="dxa"/>
              <w:right w:w="150" w:type="dxa"/>
            </w:tcMar>
          </w:tcPr>
          <w:p>
            <w:pPr>
              <w:jc w:val="center"/>
            </w:pPr>
            <w:r>
              <w:rPr>
                <w:rFonts w:ascii="Times New Roman" w:hAnsi="Times New Roman"/>
                <w:b/>
                <w:color w:val="FFFFFF"/>
                <w:sz w:val="17"/>
              </w:rPr>
              <w:t>Default Facility Reference</w:t>
            </w:r>
          </w:p>
        </w:tc>
      </w:tr>
      <w:tr>
        <w:tc>
          <w:tcPr>
            <w:tcW w:type="dxa" w:w="2520"/>
            <w:shd w:fill="F8FAFC"/>
            <w:tcMar>
              <w:top w:w="80" w:type="dxa"/>
              <w:bottom w:w="80" w:type="dxa"/>
              <w:left w:w="120" w:type="dxa"/>
              <w:right w:w="120" w:type="dxa"/>
            </w:tcMar>
          </w:tcPr>
          <w:p>
            <w:pPr>
              <w:jc w:val="left"/>
            </w:pPr>
            <w:r>
              <w:rPr>
                <w:rFonts w:ascii="Times New Roman" w:hAnsi="Times New Roman"/>
                <w:sz w:val="17"/>
              </w:rPr>
              <w:t>General Medicine</w:t>
            </w:r>
          </w:p>
        </w:tc>
        <w:tc>
          <w:tcPr>
            <w:tcW w:type="dxa" w:w="2520"/>
            <w:shd w:fill="F8FAFC"/>
            <w:tcMar>
              <w:top w:w="80" w:type="dxa"/>
              <w:bottom w:w="80" w:type="dxa"/>
              <w:left w:w="120" w:type="dxa"/>
              <w:right w:w="120" w:type="dxa"/>
            </w:tcMar>
          </w:tcPr>
          <w:p>
            <w:pPr>
              <w:jc w:val="center"/>
            </w:pPr>
            <w:r>
              <w:rPr>
                <w:rFonts w:ascii="Times New Roman" w:hAnsi="Times New Roman"/>
                <w:sz w:val="17"/>
              </w:rPr>
              <w:t>2,912</w:t>
            </w:r>
          </w:p>
        </w:tc>
        <w:tc>
          <w:tcPr>
            <w:tcW w:type="dxa" w:w="2520"/>
            <w:shd w:fill="F8FAFC"/>
            <w:tcMar>
              <w:top w:w="80" w:type="dxa"/>
              <w:bottom w:w="80" w:type="dxa"/>
              <w:left w:w="120" w:type="dxa"/>
              <w:right w:w="120" w:type="dxa"/>
            </w:tcMar>
          </w:tcPr>
          <w:p>
            <w:pPr>
              <w:jc w:val="left"/>
            </w:pPr>
            <w:r>
              <w:rPr>
                <w:rFonts w:ascii="Times New Roman" w:hAnsi="Times New Roman"/>
                <w:sz w:val="17"/>
              </w:rPr>
              <w:t>Warangal, Hanamkonda, Kazipet</w:t>
            </w:r>
          </w:p>
        </w:tc>
        <w:tc>
          <w:tcPr>
            <w:tcW w:type="dxa" w:w="2520"/>
            <w:shd w:fill="F8FAFC"/>
            <w:tcMar>
              <w:top w:w="80" w:type="dxa"/>
              <w:bottom w:w="80" w:type="dxa"/>
              <w:left w:w="120" w:type="dxa"/>
              <w:right w:w="120" w:type="dxa"/>
            </w:tcMar>
          </w:tcPr>
          <w:p>
            <w:pPr>
              <w:jc w:val="left"/>
            </w:pPr>
            <w:r>
              <w:rPr>
                <w:rFonts w:ascii="Times New Roman" w:hAnsi="Times New Roman"/>
                <w:sz w:val="17"/>
              </w:rPr>
              <w:t>District Hospital Warangal</w:t>
            </w:r>
          </w:p>
        </w:tc>
      </w:tr>
      <w:tr>
        <w:tc>
          <w:tcPr>
            <w:tcW w:type="dxa" w:w="2520"/>
            <w:shd w:fill="FFFFFF"/>
            <w:tcMar>
              <w:top w:w="80" w:type="dxa"/>
              <w:bottom w:w="80" w:type="dxa"/>
              <w:left w:w="120" w:type="dxa"/>
              <w:right w:w="120" w:type="dxa"/>
            </w:tcMar>
          </w:tcPr>
          <w:p>
            <w:pPr>
              <w:jc w:val="left"/>
            </w:pPr>
            <w:r>
              <w:rPr>
                <w:rFonts w:ascii="Times New Roman" w:hAnsi="Times New Roman"/>
                <w:sz w:val="17"/>
              </w:rPr>
              <w:t>Gastroenterology</w:t>
            </w:r>
          </w:p>
        </w:tc>
        <w:tc>
          <w:tcPr>
            <w:tcW w:type="dxa" w:w="2520"/>
            <w:shd w:fill="FFFFFF"/>
            <w:tcMar>
              <w:top w:w="80" w:type="dxa"/>
              <w:bottom w:w="80" w:type="dxa"/>
              <w:left w:w="120" w:type="dxa"/>
              <w:right w:w="120" w:type="dxa"/>
            </w:tcMar>
          </w:tcPr>
          <w:p>
            <w:pPr>
              <w:jc w:val="center"/>
            </w:pPr>
            <w:r>
              <w:rPr>
                <w:rFonts w:ascii="Times New Roman" w:hAnsi="Times New Roman"/>
                <w:sz w:val="17"/>
              </w:rPr>
              <w:t>1,962</w:t>
            </w:r>
          </w:p>
        </w:tc>
        <w:tc>
          <w:tcPr>
            <w:tcW w:type="dxa" w:w="2520"/>
            <w:shd w:fill="FFFFFF"/>
            <w:tcMar>
              <w:top w:w="80" w:type="dxa"/>
              <w:bottom w:w="80" w:type="dxa"/>
              <w:left w:w="120" w:type="dxa"/>
              <w:right w:w="120" w:type="dxa"/>
            </w:tcMar>
          </w:tcPr>
          <w:p>
            <w:pPr>
              <w:jc w:val="left"/>
            </w:pPr>
            <w:r>
              <w:rPr>
                <w:rFonts w:ascii="Times New Roman" w:hAnsi="Times New Roman"/>
                <w:sz w:val="17"/>
              </w:rPr>
              <w:t>Parkal, Dharmasagar, Geesugonda</w:t>
            </w:r>
          </w:p>
        </w:tc>
        <w:tc>
          <w:tcPr>
            <w:tcW w:type="dxa" w:w="2520"/>
            <w:shd w:fill="FFFFFF"/>
            <w:tcMar>
              <w:top w:w="80" w:type="dxa"/>
              <w:bottom w:w="80" w:type="dxa"/>
              <w:left w:w="120" w:type="dxa"/>
              <w:right w:w="120" w:type="dxa"/>
            </w:tcMar>
          </w:tcPr>
          <w:p>
            <w:pPr>
              <w:jc w:val="left"/>
            </w:pPr>
            <w:r>
              <w:rPr>
                <w:rFonts w:ascii="Times New Roman" w:hAnsi="Times New Roman"/>
                <w:sz w:val="17"/>
              </w:rPr>
              <w:t>MGM Hospital Warangal</w:t>
            </w:r>
          </w:p>
        </w:tc>
      </w:tr>
      <w:tr>
        <w:tc>
          <w:tcPr>
            <w:tcW w:type="dxa" w:w="2520"/>
            <w:shd w:fill="F8FAFC"/>
            <w:tcMar>
              <w:top w:w="80" w:type="dxa"/>
              <w:bottom w:w="80" w:type="dxa"/>
              <w:left w:w="120" w:type="dxa"/>
              <w:right w:w="120" w:type="dxa"/>
            </w:tcMar>
          </w:tcPr>
          <w:p>
            <w:pPr>
              <w:jc w:val="left"/>
            </w:pPr>
            <w:r>
              <w:rPr>
                <w:rFonts w:ascii="Times New Roman" w:hAnsi="Times New Roman"/>
                <w:sz w:val="17"/>
              </w:rPr>
              <w:t>Orthopedics</w:t>
            </w:r>
          </w:p>
        </w:tc>
        <w:tc>
          <w:tcPr>
            <w:tcW w:type="dxa" w:w="2520"/>
            <w:shd w:fill="F8FAFC"/>
            <w:tcMar>
              <w:top w:w="80" w:type="dxa"/>
              <w:bottom w:w="80" w:type="dxa"/>
              <w:left w:w="120" w:type="dxa"/>
              <w:right w:w="120" w:type="dxa"/>
            </w:tcMar>
          </w:tcPr>
          <w:p>
            <w:pPr>
              <w:jc w:val="center"/>
            </w:pPr>
            <w:r>
              <w:rPr>
                <w:rFonts w:ascii="Times New Roman" w:hAnsi="Times New Roman"/>
                <w:sz w:val="17"/>
              </w:rPr>
              <w:t>1,940</w:t>
            </w:r>
          </w:p>
        </w:tc>
        <w:tc>
          <w:tcPr>
            <w:tcW w:type="dxa" w:w="2520"/>
            <w:shd w:fill="F8FAFC"/>
            <w:tcMar>
              <w:top w:w="80" w:type="dxa"/>
              <w:bottom w:w="80" w:type="dxa"/>
              <w:left w:w="120" w:type="dxa"/>
              <w:right w:w="120" w:type="dxa"/>
            </w:tcMar>
          </w:tcPr>
          <w:p>
            <w:pPr>
              <w:jc w:val="left"/>
            </w:pPr>
            <w:r>
              <w:rPr>
                <w:rFonts w:ascii="Times New Roman" w:hAnsi="Times New Roman"/>
                <w:sz w:val="17"/>
              </w:rPr>
              <w:t>Hasanparthy, Wardhannapet, Kazipet</w:t>
            </w:r>
          </w:p>
        </w:tc>
        <w:tc>
          <w:tcPr>
            <w:tcW w:type="dxa" w:w="2520"/>
            <w:shd w:fill="F8FAFC"/>
            <w:tcMar>
              <w:top w:w="80" w:type="dxa"/>
              <w:bottom w:w="80" w:type="dxa"/>
              <w:left w:w="120" w:type="dxa"/>
              <w:right w:w="120" w:type="dxa"/>
            </w:tcMar>
          </w:tcPr>
          <w:p>
            <w:pPr>
              <w:jc w:val="left"/>
            </w:pPr>
            <w:r>
              <w:rPr>
                <w:rFonts w:ascii="Times New Roman" w:hAnsi="Times New Roman"/>
                <w:sz w:val="17"/>
              </w:rPr>
              <w:t>Warangal Ortho Center / MGM</w:t>
            </w:r>
          </w:p>
        </w:tc>
      </w:tr>
      <w:tr>
        <w:tc>
          <w:tcPr>
            <w:tcW w:type="dxa" w:w="2520"/>
            <w:shd w:fill="FFFFFF"/>
            <w:tcMar>
              <w:top w:w="80" w:type="dxa"/>
              <w:bottom w:w="80" w:type="dxa"/>
              <w:left w:w="120" w:type="dxa"/>
              <w:right w:w="120" w:type="dxa"/>
            </w:tcMar>
          </w:tcPr>
          <w:p>
            <w:pPr>
              <w:jc w:val="left"/>
            </w:pPr>
            <w:r>
              <w:rPr>
                <w:rFonts w:ascii="Times New Roman" w:hAnsi="Times New Roman"/>
                <w:sz w:val="17"/>
              </w:rPr>
              <w:t>ENT</w:t>
            </w:r>
          </w:p>
        </w:tc>
        <w:tc>
          <w:tcPr>
            <w:tcW w:type="dxa" w:w="2520"/>
            <w:shd w:fill="FFFFFF"/>
            <w:tcMar>
              <w:top w:w="80" w:type="dxa"/>
              <w:bottom w:w="80" w:type="dxa"/>
              <w:left w:w="120" w:type="dxa"/>
              <w:right w:w="120" w:type="dxa"/>
            </w:tcMar>
          </w:tcPr>
          <w:p>
            <w:pPr>
              <w:jc w:val="center"/>
            </w:pPr>
            <w:r>
              <w:rPr>
                <w:rFonts w:ascii="Times New Roman" w:hAnsi="Times New Roman"/>
                <w:sz w:val="17"/>
              </w:rPr>
              <w:t>1,008</w:t>
            </w:r>
          </w:p>
        </w:tc>
        <w:tc>
          <w:tcPr>
            <w:tcW w:type="dxa" w:w="2520"/>
            <w:shd w:fill="FFFFFF"/>
            <w:tcMar>
              <w:top w:w="80" w:type="dxa"/>
              <w:bottom w:w="80" w:type="dxa"/>
              <w:left w:w="120" w:type="dxa"/>
              <w:right w:w="120" w:type="dxa"/>
            </w:tcMar>
          </w:tcPr>
          <w:p>
            <w:pPr>
              <w:jc w:val="left"/>
            </w:pPr>
            <w:r>
              <w:rPr>
                <w:rFonts w:ascii="Times New Roman" w:hAnsi="Times New Roman"/>
                <w:sz w:val="17"/>
              </w:rPr>
              <w:t>Warangal Urban, Hanamkonda</w:t>
            </w:r>
          </w:p>
        </w:tc>
        <w:tc>
          <w:tcPr>
            <w:tcW w:type="dxa" w:w="2520"/>
            <w:shd w:fill="FFFFFF"/>
            <w:tcMar>
              <w:top w:w="80" w:type="dxa"/>
              <w:bottom w:w="80" w:type="dxa"/>
              <w:left w:w="120" w:type="dxa"/>
              <w:right w:w="120" w:type="dxa"/>
            </w:tcMar>
          </w:tcPr>
          <w:p>
            <w:pPr>
              <w:jc w:val="left"/>
            </w:pPr>
            <w:r>
              <w:rPr>
                <w:rFonts w:ascii="Times New Roman" w:hAnsi="Times New Roman"/>
                <w:sz w:val="17"/>
              </w:rPr>
              <w:t>MGM Hospital ENT Block</w:t>
            </w:r>
          </w:p>
        </w:tc>
      </w:tr>
      <w:tr>
        <w:tc>
          <w:tcPr>
            <w:tcW w:type="dxa" w:w="2520"/>
            <w:shd w:fill="F8FAFC"/>
            <w:tcMar>
              <w:top w:w="80" w:type="dxa"/>
              <w:bottom w:w="80" w:type="dxa"/>
              <w:left w:w="120" w:type="dxa"/>
              <w:right w:w="120" w:type="dxa"/>
            </w:tcMar>
          </w:tcPr>
          <w:p>
            <w:pPr>
              <w:jc w:val="left"/>
            </w:pPr>
            <w:r>
              <w:rPr>
                <w:rFonts w:ascii="Times New Roman" w:hAnsi="Times New Roman"/>
                <w:sz w:val="17"/>
              </w:rPr>
              <w:t>Pulmonology</w:t>
            </w:r>
          </w:p>
        </w:tc>
        <w:tc>
          <w:tcPr>
            <w:tcW w:type="dxa" w:w="2520"/>
            <w:shd w:fill="F8FAFC"/>
            <w:tcMar>
              <w:top w:w="80" w:type="dxa"/>
              <w:bottom w:w="80" w:type="dxa"/>
              <w:left w:w="120" w:type="dxa"/>
              <w:right w:w="120" w:type="dxa"/>
            </w:tcMar>
          </w:tcPr>
          <w:p>
            <w:pPr>
              <w:jc w:val="center"/>
            </w:pPr>
            <w:r>
              <w:rPr>
                <w:rFonts w:ascii="Times New Roman" w:hAnsi="Times New Roman"/>
                <w:sz w:val="17"/>
              </w:rPr>
              <w:t>1,000</w:t>
            </w:r>
          </w:p>
        </w:tc>
        <w:tc>
          <w:tcPr>
            <w:tcW w:type="dxa" w:w="2520"/>
            <w:shd w:fill="F8FAFC"/>
            <w:tcMar>
              <w:top w:w="80" w:type="dxa"/>
              <w:bottom w:w="80" w:type="dxa"/>
              <w:left w:w="120" w:type="dxa"/>
              <w:right w:w="120" w:type="dxa"/>
            </w:tcMar>
          </w:tcPr>
          <w:p>
            <w:pPr>
              <w:jc w:val="left"/>
            </w:pPr>
            <w:r>
              <w:rPr>
                <w:rFonts w:ascii="Times New Roman" w:hAnsi="Times New Roman"/>
                <w:sz w:val="17"/>
              </w:rPr>
              <w:t>Parkal, Dharmasagar, Geesugonda</w:t>
            </w:r>
          </w:p>
        </w:tc>
        <w:tc>
          <w:tcPr>
            <w:tcW w:type="dxa" w:w="2520"/>
            <w:shd w:fill="F8FAFC"/>
            <w:tcMar>
              <w:top w:w="80" w:type="dxa"/>
              <w:bottom w:w="80" w:type="dxa"/>
              <w:left w:w="120" w:type="dxa"/>
              <w:right w:w="120" w:type="dxa"/>
            </w:tcMar>
          </w:tcPr>
          <w:p>
            <w:pPr>
              <w:jc w:val="left"/>
            </w:pPr>
            <w:r>
              <w:rPr>
                <w:rFonts w:ascii="Times New Roman" w:hAnsi="Times New Roman"/>
                <w:sz w:val="17"/>
              </w:rPr>
              <w:t>District Chest &amp; Chest Clinic</w:t>
            </w:r>
          </w:p>
        </w:tc>
      </w:tr>
      <w:tr>
        <w:tc>
          <w:tcPr>
            <w:tcW w:type="dxa" w:w="2520"/>
            <w:shd w:fill="FFFFFF"/>
            <w:tcMar>
              <w:top w:w="80" w:type="dxa"/>
              <w:bottom w:w="80" w:type="dxa"/>
              <w:left w:w="120" w:type="dxa"/>
              <w:right w:w="120" w:type="dxa"/>
            </w:tcMar>
          </w:tcPr>
          <w:p>
            <w:pPr>
              <w:jc w:val="left"/>
            </w:pPr>
            <w:r>
              <w:rPr>
                <w:rFonts w:ascii="Times New Roman" w:hAnsi="Times New Roman"/>
                <w:sz w:val="17"/>
              </w:rPr>
              <w:t>Dermatology</w:t>
            </w:r>
          </w:p>
        </w:tc>
        <w:tc>
          <w:tcPr>
            <w:tcW w:type="dxa" w:w="2520"/>
            <w:shd w:fill="FFFFFF"/>
            <w:tcMar>
              <w:top w:w="80" w:type="dxa"/>
              <w:bottom w:w="80" w:type="dxa"/>
              <w:left w:w="120" w:type="dxa"/>
              <w:right w:w="120" w:type="dxa"/>
            </w:tcMar>
          </w:tcPr>
          <w:p>
            <w:pPr>
              <w:jc w:val="center"/>
            </w:pPr>
            <w:r>
              <w:rPr>
                <w:rFonts w:ascii="Times New Roman" w:hAnsi="Times New Roman"/>
                <w:sz w:val="17"/>
              </w:rPr>
              <w:t>978</w:t>
            </w:r>
          </w:p>
        </w:tc>
        <w:tc>
          <w:tcPr>
            <w:tcW w:type="dxa" w:w="2520"/>
            <w:shd w:fill="FFFFFF"/>
            <w:tcMar>
              <w:top w:w="80" w:type="dxa"/>
              <w:bottom w:w="80" w:type="dxa"/>
              <w:left w:w="120" w:type="dxa"/>
              <w:right w:w="120" w:type="dxa"/>
            </w:tcMar>
          </w:tcPr>
          <w:p>
            <w:pPr>
              <w:jc w:val="left"/>
            </w:pPr>
            <w:r>
              <w:rPr>
                <w:rFonts w:ascii="Times New Roman" w:hAnsi="Times New Roman"/>
                <w:sz w:val="17"/>
              </w:rPr>
              <w:t>Hanamkonda, Kazipet</w:t>
            </w:r>
          </w:p>
        </w:tc>
        <w:tc>
          <w:tcPr>
            <w:tcW w:type="dxa" w:w="2520"/>
            <w:shd w:fill="FFFFFF"/>
            <w:tcMar>
              <w:top w:w="80" w:type="dxa"/>
              <w:bottom w:w="80" w:type="dxa"/>
              <w:left w:w="120" w:type="dxa"/>
              <w:right w:w="120" w:type="dxa"/>
            </w:tcMar>
          </w:tcPr>
          <w:p>
            <w:pPr>
              <w:jc w:val="left"/>
            </w:pPr>
            <w:r>
              <w:rPr>
                <w:rFonts w:ascii="Times New Roman" w:hAnsi="Times New Roman"/>
                <w:sz w:val="17"/>
              </w:rPr>
              <w:t>Urban Primary Health Center</w:t>
            </w:r>
          </w:p>
        </w:tc>
      </w:tr>
      <w:tr>
        <w:tc>
          <w:tcPr>
            <w:tcW w:type="dxa" w:w="2520"/>
            <w:shd w:fill="F8FAFC"/>
            <w:tcMar>
              <w:top w:w="80" w:type="dxa"/>
              <w:bottom w:w="80" w:type="dxa"/>
              <w:left w:w="120" w:type="dxa"/>
              <w:right w:w="120" w:type="dxa"/>
            </w:tcMar>
          </w:tcPr>
          <w:p>
            <w:pPr>
              <w:jc w:val="left"/>
            </w:pPr>
            <w:r>
              <w:rPr>
                <w:rFonts w:ascii="Times New Roman" w:hAnsi="Times New Roman"/>
                <w:sz w:val="17"/>
              </w:rPr>
              <w:t>Cardiology</w:t>
            </w:r>
          </w:p>
        </w:tc>
        <w:tc>
          <w:tcPr>
            <w:tcW w:type="dxa" w:w="2520"/>
            <w:shd w:fill="F8FAFC"/>
            <w:tcMar>
              <w:top w:w="80" w:type="dxa"/>
              <w:bottom w:w="80" w:type="dxa"/>
              <w:left w:w="120" w:type="dxa"/>
              <w:right w:w="120" w:type="dxa"/>
            </w:tcMar>
          </w:tcPr>
          <w:p>
            <w:pPr>
              <w:jc w:val="center"/>
            </w:pPr>
            <w:r>
              <w:rPr>
                <w:rFonts w:ascii="Times New Roman" w:hAnsi="Times New Roman"/>
                <w:sz w:val="17"/>
              </w:rPr>
              <w:t>972</w:t>
            </w:r>
          </w:p>
        </w:tc>
        <w:tc>
          <w:tcPr>
            <w:tcW w:type="dxa" w:w="2520"/>
            <w:shd w:fill="F8FAFC"/>
            <w:tcMar>
              <w:top w:w="80" w:type="dxa"/>
              <w:bottom w:w="80" w:type="dxa"/>
              <w:left w:w="120" w:type="dxa"/>
              <w:right w:w="120" w:type="dxa"/>
            </w:tcMar>
          </w:tcPr>
          <w:p>
            <w:pPr>
              <w:jc w:val="left"/>
            </w:pPr>
            <w:r>
              <w:rPr>
                <w:rFonts w:ascii="Times New Roman" w:hAnsi="Times New Roman"/>
                <w:sz w:val="17"/>
              </w:rPr>
              <w:t>Warangal Central, Kazipet</w:t>
            </w:r>
          </w:p>
        </w:tc>
        <w:tc>
          <w:tcPr>
            <w:tcW w:type="dxa" w:w="2520"/>
            <w:shd w:fill="F8FAFC"/>
            <w:tcMar>
              <w:top w:w="80" w:type="dxa"/>
              <w:bottom w:w="80" w:type="dxa"/>
              <w:left w:w="120" w:type="dxa"/>
              <w:right w:w="120" w:type="dxa"/>
            </w:tcMar>
          </w:tcPr>
          <w:p>
            <w:pPr>
              <w:jc w:val="left"/>
            </w:pPr>
            <w:r>
              <w:rPr>
                <w:rFonts w:ascii="Times New Roman" w:hAnsi="Times New Roman"/>
                <w:sz w:val="17"/>
              </w:rPr>
              <w:t>MGM Super Speciality Block</w:t>
            </w:r>
          </w:p>
        </w:tc>
      </w:tr>
      <w:tr>
        <w:tc>
          <w:tcPr>
            <w:tcW w:type="dxa" w:w="2520"/>
            <w:shd w:fill="FFFFFF"/>
            <w:tcMar>
              <w:top w:w="80" w:type="dxa"/>
              <w:bottom w:w="80" w:type="dxa"/>
              <w:left w:w="120" w:type="dxa"/>
              <w:right w:w="120" w:type="dxa"/>
            </w:tcMar>
          </w:tcPr>
          <w:p>
            <w:pPr>
              <w:jc w:val="left"/>
            </w:pPr>
            <w:r>
              <w:rPr>
                <w:rFonts w:ascii="Times New Roman" w:hAnsi="Times New Roman"/>
                <w:sz w:val="17"/>
              </w:rPr>
              <w:t>Neurology</w:t>
            </w:r>
          </w:p>
        </w:tc>
        <w:tc>
          <w:tcPr>
            <w:tcW w:type="dxa" w:w="2520"/>
            <w:shd w:fill="FFFFFF"/>
            <w:tcMar>
              <w:top w:w="80" w:type="dxa"/>
              <w:bottom w:w="80" w:type="dxa"/>
              <w:left w:w="120" w:type="dxa"/>
              <w:right w:w="120" w:type="dxa"/>
            </w:tcMar>
          </w:tcPr>
          <w:p>
            <w:pPr>
              <w:jc w:val="center"/>
            </w:pPr>
            <w:r>
              <w:rPr>
                <w:rFonts w:ascii="Times New Roman" w:hAnsi="Times New Roman"/>
                <w:sz w:val="17"/>
              </w:rPr>
              <w:t>956</w:t>
            </w:r>
          </w:p>
        </w:tc>
        <w:tc>
          <w:tcPr>
            <w:tcW w:type="dxa" w:w="2520"/>
            <w:shd w:fill="FFFFFF"/>
            <w:tcMar>
              <w:top w:w="80" w:type="dxa"/>
              <w:bottom w:w="80" w:type="dxa"/>
              <w:left w:w="120" w:type="dxa"/>
              <w:right w:w="120" w:type="dxa"/>
            </w:tcMar>
          </w:tcPr>
          <w:p>
            <w:pPr>
              <w:jc w:val="left"/>
            </w:pPr>
            <w:r>
              <w:rPr>
                <w:rFonts w:ascii="Times New Roman" w:hAnsi="Times New Roman"/>
                <w:sz w:val="17"/>
              </w:rPr>
              <w:t>Hanamkonda, Wardhannapet</w:t>
            </w:r>
          </w:p>
        </w:tc>
        <w:tc>
          <w:tcPr>
            <w:tcW w:type="dxa" w:w="2520"/>
            <w:shd w:fill="FFFFFF"/>
            <w:tcMar>
              <w:top w:w="80" w:type="dxa"/>
              <w:bottom w:w="80" w:type="dxa"/>
              <w:left w:w="120" w:type="dxa"/>
              <w:right w:w="120" w:type="dxa"/>
            </w:tcMar>
          </w:tcPr>
          <w:p>
            <w:pPr>
              <w:jc w:val="left"/>
            </w:pPr>
            <w:r>
              <w:rPr>
                <w:rFonts w:ascii="Times New Roman" w:hAnsi="Times New Roman"/>
                <w:sz w:val="17"/>
              </w:rPr>
              <w:t>MGM Hospital Neuro Casualty</w:t>
            </w:r>
          </w:p>
        </w:tc>
      </w:tr>
    </w:tbl>
    <w:p>
      <w:pPr>
        <w:spacing w:after="160"/>
      </w:pPr>
    </w:p>
    <w:p>
      <w:pPr>
        <w:keepNext/>
        <w:spacing w:before="280" w:after="120"/>
      </w:pPr>
      <w:r>
        <w:rPr>
          <w:rFonts w:ascii="Times New Roman" w:hAnsi="Times New Roman"/>
          <w:b/>
          <w:color w:val="003366"/>
          <w:sz w:val="22"/>
        </w:rPr>
        <w:t>V. EXPERIMENTAL RESULTS AND EVALUATION</w:t>
      </w:r>
    </w:p>
    <w:p>
      <w:pPr>
        <w:spacing w:after="120" w:line="276" w:lineRule="auto"/>
        <w:ind w:firstLine="288"/>
        <w:jc w:val="both"/>
      </w:pPr>
      <w:r>
        <w:rPr>
          <w:rFonts w:ascii="Times New Roman" w:hAnsi="Times New Roman"/>
          <w:sz w:val="20"/>
        </w:rPr>
        <w:t>The system was quantitatively evaluated across three primary dimensions: (1) Retrieval Accuracy, (2) Red-Flag Triage Sensitivity, and (3) System Processing Latency.</w:t>
      </w:r>
    </w:p>
    <w:p>
      <w:pPr>
        <w:keepNext/>
        <w:spacing w:before="200" w:after="80"/>
      </w:pPr>
      <w:r>
        <w:rPr>
          <w:rFonts w:ascii="Times New Roman" w:hAnsi="Times New Roman"/>
          <w:b/>
          <w:i/>
          <w:color w:val="222222"/>
          <w:sz w:val="20"/>
        </w:rPr>
        <w:t>A. Retrieval Accuracy Metrics</w:t>
      </w:r>
    </w:p>
    <w:p>
      <w:pPr>
        <w:spacing w:after="120" w:line="276" w:lineRule="auto"/>
        <w:ind w:firstLine="288"/>
        <w:jc w:val="both"/>
      </w:pPr>
      <w:r>
        <w:rPr>
          <w:rFonts w:ascii="Times New Roman" w:hAnsi="Times New Roman"/>
          <w:sz w:val="20"/>
        </w:rPr>
        <w:t>Evaluation was conducted on a benchmark set of 250 annotated patient symptom queries representing both formal clinical syntax and informal colloquial phrasing. Performance metrics include Mean Reciprocal Rank (MRR), Precision@K, and Recall@K (where K = 5).</w:t>
      </w:r>
    </w:p>
    <w:p>
      <w:pPr>
        <w:spacing w:before="160" w:after="80"/>
        <w:jc w:val="center"/>
      </w:pPr>
      <w:r>
        <w:rPr>
          <w:rFonts w:ascii="Times New Roman" w:hAnsi="Times New Roman"/>
          <w:b/>
          <w:sz w:val="18"/>
        </w:rPr>
        <w:t>TABLE II. RETRIEVAL ENGINE PERFORMANCE COMPARISON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05F73"/>
            <w:tcMar>
              <w:top w:w="120" w:type="dxa"/>
              <w:bottom w:w="120" w:type="dxa"/>
              <w:left w:w="150" w:type="dxa"/>
              <w:right w:w="150" w:type="dxa"/>
            </w:tcMar>
          </w:tcPr>
          <w:p>
            <w:pPr>
              <w:jc w:val="center"/>
            </w:pPr>
            <w:r>
              <w:rPr>
                <w:rFonts w:ascii="Times New Roman" w:hAnsi="Times New Roman"/>
                <w:b/>
                <w:color w:val="FFFFFF"/>
                <w:sz w:val="17"/>
              </w:rPr>
              <w:t>Retrieval Model</w:t>
            </w:r>
          </w:p>
        </w:tc>
        <w:tc>
          <w:tcPr>
            <w:tcW w:type="dxa" w:w="2016"/>
            <w:shd w:fill="005F73"/>
            <w:tcMar>
              <w:top w:w="120" w:type="dxa"/>
              <w:bottom w:w="120" w:type="dxa"/>
              <w:left w:w="150" w:type="dxa"/>
              <w:right w:w="150" w:type="dxa"/>
            </w:tcMar>
          </w:tcPr>
          <w:p>
            <w:pPr>
              <w:jc w:val="center"/>
            </w:pPr>
            <w:r>
              <w:rPr>
                <w:rFonts w:ascii="Times New Roman" w:hAnsi="Times New Roman"/>
                <w:b/>
                <w:color w:val="FFFFFF"/>
                <w:sz w:val="17"/>
              </w:rPr>
              <w:t>MRR</w:t>
            </w:r>
          </w:p>
        </w:tc>
        <w:tc>
          <w:tcPr>
            <w:tcW w:type="dxa" w:w="2016"/>
            <w:shd w:fill="005F73"/>
            <w:tcMar>
              <w:top w:w="120" w:type="dxa"/>
              <w:bottom w:w="120" w:type="dxa"/>
              <w:left w:w="150" w:type="dxa"/>
              <w:right w:w="150" w:type="dxa"/>
            </w:tcMar>
          </w:tcPr>
          <w:p>
            <w:pPr>
              <w:jc w:val="center"/>
            </w:pPr>
            <w:r>
              <w:rPr>
                <w:rFonts w:ascii="Times New Roman" w:hAnsi="Times New Roman"/>
                <w:b/>
                <w:color w:val="FFFFFF"/>
                <w:sz w:val="17"/>
              </w:rPr>
              <w:t>Precision@5</w:t>
            </w:r>
          </w:p>
        </w:tc>
        <w:tc>
          <w:tcPr>
            <w:tcW w:type="dxa" w:w="2016"/>
            <w:shd w:fill="005F73"/>
            <w:tcMar>
              <w:top w:w="120" w:type="dxa"/>
              <w:bottom w:w="120" w:type="dxa"/>
              <w:left w:w="150" w:type="dxa"/>
              <w:right w:w="150" w:type="dxa"/>
            </w:tcMar>
          </w:tcPr>
          <w:p>
            <w:pPr>
              <w:jc w:val="center"/>
            </w:pPr>
            <w:r>
              <w:rPr>
                <w:rFonts w:ascii="Times New Roman" w:hAnsi="Times New Roman"/>
                <w:b/>
                <w:color w:val="FFFFFF"/>
                <w:sz w:val="17"/>
              </w:rPr>
              <w:t>Recall@5</w:t>
            </w:r>
          </w:p>
        </w:tc>
        <w:tc>
          <w:tcPr>
            <w:tcW w:type="dxa" w:w="2016"/>
            <w:shd w:fill="005F73"/>
            <w:tcMar>
              <w:top w:w="120" w:type="dxa"/>
              <w:bottom w:w="120" w:type="dxa"/>
              <w:left w:w="150" w:type="dxa"/>
              <w:right w:w="150" w:type="dxa"/>
            </w:tcMar>
          </w:tcPr>
          <w:p>
            <w:pPr>
              <w:jc w:val="center"/>
            </w:pPr>
            <w:r>
              <w:rPr>
                <w:rFonts w:ascii="Times New Roman" w:hAnsi="Times New Roman"/>
                <w:b/>
                <w:color w:val="FFFFFF"/>
                <w:sz w:val="17"/>
              </w:rPr>
              <w:t>Avg Latency (ms)</w:t>
            </w:r>
          </w:p>
        </w:tc>
      </w:tr>
      <w:tr>
        <w:tc>
          <w:tcPr>
            <w:tcW w:type="dxa" w:w="2016"/>
            <w:shd w:fill="F8FAFC"/>
            <w:tcMar>
              <w:top w:w="80" w:type="dxa"/>
              <w:bottom w:w="80" w:type="dxa"/>
              <w:left w:w="120" w:type="dxa"/>
              <w:right w:w="120" w:type="dxa"/>
            </w:tcMar>
          </w:tcPr>
          <w:p>
            <w:pPr>
              <w:jc w:val="left"/>
            </w:pPr>
            <w:r>
              <w:rPr>
                <w:rFonts w:ascii="Times New Roman" w:hAnsi="Times New Roman"/>
                <w:sz w:val="17"/>
              </w:rPr>
              <w:t>TF-IDF + Cosine Similarity</w:t>
            </w:r>
          </w:p>
        </w:tc>
        <w:tc>
          <w:tcPr>
            <w:tcW w:type="dxa" w:w="2016"/>
            <w:shd w:fill="F8FAFC"/>
            <w:tcMar>
              <w:top w:w="80" w:type="dxa"/>
              <w:bottom w:w="80" w:type="dxa"/>
              <w:left w:w="120" w:type="dxa"/>
              <w:right w:w="120" w:type="dxa"/>
            </w:tcMar>
          </w:tcPr>
          <w:p>
            <w:pPr>
              <w:jc w:val="center"/>
            </w:pPr>
            <w:r>
              <w:rPr>
                <w:rFonts w:ascii="Times New Roman" w:hAnsi="Times New Roman"/>
                <w:sz w:val="17"/>
              </w:rPr>
              <w:t>0.86</w:t>
            </w:r>
          </w:p>
        </w:tc>
        <w:tc>
          <w:tcPr>
            <w:tcW w:type="dxa" w:w="2016"/>
            <w:shd w:fill="F8FAFC"/>
            <w:tcMar>
              <w:top w:w="80" w:type="dxa"/>
              <w:bottom w:w="80" w:type="dxa"/>
              <w:left w:w="120" w:type="dxa"/>
              <w:right w:w="120" w:type="dxa"/>
            </w:tcMar>
          </w:tcPr>
          <w:p>
            <w:pPr>
              <w:jc w:val="center"/>
            </w:pPr>
            <w:r>
              <w:rPr>
                <w:rFonts w:ascii="Times New Roman" w:hAnsi="Times New Roman"/>
                <w:sz w:val="17"/>
              </w:rPr>
              <w:t>84.2%</w:t>
            </w:r>
          </w:p>
        </w:tc>
        <w:tc>
          <w:tcPr>
            <w:tcW w:type="dxa" w:w="2016"/>
            <w:shd w:fill="F8FAFC"/>
            <w:tcMar>
              <w:top w:w="80" w:type="dxa"/>
              <w:bottom w:w="80" w:type="dxa"/>
              <w:left w:w="120" w:type="dxa"/>
              <w:right w:w="120" w:type="dxa"/>
            </w:tcMar>
          </w:tcPr>
          <w:p>
            <w:pPr>
              <w:jc w:val="center"/>
            </w:pPr>
            <w:r>
              <w:rPr>
                <w:rFonts w:ascii="Times New Roman" w:hAnsi="Times New Roman"/>
                <w:sz w:val="17"/>
              </w:rPr>
              <w:t>88.5%</w:t>
            </w:r>
          </w:p>
        </w:tc>
        <w:tc>
          <w:tcPr>
            <w:tcW w:type="dxa" w:w="2016"/>
            <w:shd w:fill="F8FAFC"/>
            <w:tcMar>
              <w:top w:w="80" w:type="dxa"/>
              <w:bottom w:w="80" w:type="dxa"/>
              <w:left w:w="120" w:type="dxa"/>
              <w:right w:w="120" w:type="dxa"/>
            </w:tcMar>
          </w:tcPr>
          <w:p>
            <w:pPr>
              <w:jc w:val="center"/>
            </w:pPr>
            <w:r>
              <w:rPr>
                <w:rFonts w:ascii="Times New Roman" w:hAnsi="Times New Roman"/>
                <w:sz w:val="17"/>
              </w:rPr>
              <w:t>14.2 ms</w:t>
            </w:r>
          </w:p>
        </w:tc>
      </w:tr>
      <w:tr>
        <w:tc>
          <w:tcPr>
            <w:tcW w:type="dxa" w:w="2016"/>
            <w:shd w:fill="FFFFFF"/>
            <w:tcMar>
              <w:top w:w="80" w:type="dxa"/>
              <w:bottom w:w="80" w:type="dxa"/>
              <w:left w:w="120" w:type="dxa"/>
              <w:right w:w="120" w:type="dxa"/>
            </w:tcMar>
          </w:tcPr>
          <w:p>
            <w:pPr>
              <w:jc w:val="left"/>
            </w:pPr>
            <w:r>
              <w:rPr>
                <w:rFonts w:ascii="Times New Roman" w:hAnsi="Times New Roman"/>
                <w:sz w:val="17"/>
              </w:rPr>
              <w:t>FAISS + SentenceTransformer (MiniLM)</w:t>
            </w:r>
          </w:p>
        </w:tc>
        <w:tc>
          <w:tcPr>
            <w:tcW w:type="dxa" w:w="2016"/>
            <w:shd w:fill="FFFFFF"/>
            <w:tcMar>
              <w:top w:w="80" w:type="dxa"/>
              <w:bottom w:w="80" w:type="dxa"/>
              <w:left w:w="120" w:type="dxa"/>
              <w:right w:w="120" w:type="dxa"/>
            </w:tcMar>
          </w:tcPr>
          <w:p>
            <w:pPr>
              <w:jc w:val="center"/>
            </w:pPr>
            <w:r>
              <w:rPr>
                <w:rFonts w:ascii="Times New Roman" w:hAnsi="Times New Roman"/>
                <w:sz w:val="17"/>
              </w:rPr>
              <w:t>0.91</w:t>
            </w:r>
          </w:p>
        </w:tc>
        <w:tc>
          <w:tcPr>
            <w:tcW w:type="dxa" w:w="2016"/>
            <w:shd w:fill="FFFFFF"/>
            <w:tcMar>
              <w:top w:w="80" w:type="dxa"/>
              <w:bottom w:w="80" w:type="dxa"/>
              <w:left w:w="120" w:type="dxa"/>
              <w:right w:w="120" w:type="dxa"/>
            </w:tcMar>
          </w:tcPr>
          <w:p>
            <w:pPr>
              <w:jc w:val="center"/>
            </w:pPr>
            <w:r>
              <w:rPr>
                <w:rFonts w:ascii="Times New Roman" w:hAnsi="Times New Roman"/>
                <w:sz w:val="17"/>
              </w:rPr>
              <w:t>89.6%</w:t>
            </w:r>
          </w:p>
        </w:tc>
        <w:tc>
          <w:tcPr>
            <w:tcW w:type="dxa" w:w="2016"/>
            <w:shd w:fill="FFFFFF"/>
            <w:tcMar>
              <w:top w:w="80" w:type="dxa"/>
              <w:bottom w:w="80" w:type="dxa"/>
              <w:left w:w="120" w:type="dxa"/>
              <w:right w:w="120" w:type="dxa"/>
            </w:tcMar>
          </w:tcPr>
          <w:p>
            <w:pPr>
              <w:jc w:val="center"/>
            </w:pPr>
            <w:r>
              <w:rPr>
                <w:rFonts w:ascii="Times New Roman" w:hAnsi="Times New Roman"/>
                <w:sz w:val="17"/>
              </w:rPr>
              <w:t>94.6%</w:t>
            </w:r>
          </w:p>
        </w:tc>
        <w:tc>
          <w:tcPr>
            <w:tcW w:type="dxa" w:w="2016"/>
            <w:shd w:fill="FFFFFF"/>
            <w:tcMar>
              <w:top w:w="80" w:type="dxa"/>
              <w:bottom w:w="80" w:type="dxa"/>
              <w:left w:w="120" w:type="dxa"/>
              <w:right w:w="120" w:type="dxa"/>
            </w:tcMar>
          </w:tcPr>
          <w:p>
            <w:pPr>
              <w:jc w:val="center"/>
            </w:pPr>
            <w:r>
              <w:rPr>
                <w:rFonts w:ascii="Times New Roman" w:hAnsi="Times New Roman"/>
                <w:sz w:val="17"/>
              </w:rPr>
              <w:t>42.8 ms</w:t>
            </w:r>
          </w:p>
        </w:tc>
      </w:tr>
    </w:tbl>
    <w:p>
      <w:pPr>
        <w:spacing w:after="160"/>
      </w:pPr>
    </w:p>
    <w:p>
      <w:pPr>
        <w:keepNext/>
        <w:spacing w:before="200" w:after="80"/>
      </w:pPr>
      <w:r>
        <w:rPr>
          <w:rFonts w:ascii="Times New Roman" w:hAnsi="Times New Roman"/>
          <w:b/>
          <w:i/>
          <w:color w:val="222222"/>
          <w:sz w:val="20"/>
        </w:rPr>
        <w:t>B. Red-Flag Safety &amp; Sensitivity Analysis</w:t>
      </w:r>
    </w:p>
    <w:p>
      <w:pPr>
        <w:spacing w:after="120" w:line="276" w:lineRule="auto"/>
        <w:ind w:firstLine="288"/>
        <w:jc w:val="both"/>
      </w:pPr>
      <w:r>
        <w:rPr>
          <w:rFonts w:ascii="Times New Roman" w:hAnsi="Times New Roman"/>
          <w:sz w:val="20"/>
        </w:rPr>
        <w:t>The safety guardrail engine was evaluated on 100 emergency test cases (containing acute cardiac, respiratory, neurological, and traumatic keywords) and 100 non-emergency control cases. The rule-based filter achieved 100% sensitivity (0 false negatives for critical symptoms) and a specificity of 96.0%, successfully preventing misclassification of urgent medical scenarios.</w:t>
      </w:r>
    </w:p>
    <w:p>
      <w:pPr>
        <w:keepNext/>
        <w:spacing w:before="280" w:after="120"/>
      </w:pPr>
      <w:r>
        <w:rPr>
          <w:rFonts w:ascii="Times New Roman" w:hAnsi="Times New Roman"/>
          <w:b/>
          <w:color w:val="003366"/>
          <w:sz w:val="22"/>
        </w:rPr>
        <w:t>VI. DISCUSSION AND ADVANTAGES</w:t>
      </w:r>
    </w:p>
    <w:p>
      <w:pPr>
        <w:spacing w:after="120" w:line="276" w:lineRule="auto"/>
        <w:ind w:firstLine="288"/>
        <w:jc w:val="both"/>
      </w:pPr>
      <w:r>
        <w:rPr>
          <w:rFonts w:ascii="Times New Roman" w:hAnsi="Times New Roman"/>
          <w:sz w:val="20"/>
        </w:rPr>
        <w:t>The implemented system offers several key advantages for regional health administration in Warangal:</w:t>
      </w:r>
    </w:p>
    <w:p>
      <w:pPr>
        <w:pStyle w:val="ListBullet"/>
        <w:spacing w:after="80" w:line="264" w:lineRule="auto"/>
        <w:jc w:val="both"/>
      </w:pPr>
      <w:r>
        <w:rPr>
          <w:rFonts w:ascii="Times New Roman" w:hAnsi="Times New Roman"/>
          <w:b/>
          <w:sz w:val="20"/>
        </w:rPr>
        <w:t xml:space="preserve">Zero Hallucination Guarantee: </w:t>
      </w:r>
      <w:r>
        <w:rPr>
          <w:rFonts w:ascii="Times New Roman" w:hAnsi="Times New Roman"/>
          <w:sz w:val="20"/>
        </w:rPr>
        <w:t>By strictly constraining answer synthesis to verified dataset chunks, the system prevents dangerous speculative clinical advice.</w:t>
      </w:r>
    </w:p>
    <w:p>
      <w:pPr>
        <w:pStyle w:val="ListBullet"/>
        <w:spacing w:after="80" w:line="264" w:lineRule="auto"/>
        <w:jc w:val="both"/>
      </w:pPr>
      <w:r>
        <w:rPr>
          <w:rFonts w:ascii="Times New Roman" w:hAnsi="Times New Roman"/>
          <w:b/>
          <w:sz w:val="20"/>
        </w:rPr>
        <w:t xml:space="preserve">Geographic Relevance: </w:t>
      </w:r>
      <w:r>
        <w:rPr>
          <w:rFonts w:ascii="Times New Roman" w:hAnsi="Times New Roman"/>
          <w:sz w:val="20"/>
        </w:rPr>
        <w:t>Recommendations explicitly reference local health centers (such as Parkal Primary Health Center, Kazipet UPHC, and MGM Hospital Referral Casualty), assisting patients in choosing appropriate local care facilities.</w:t>
      </w:r>
    </w:p>
    <w:p>
      <w:pPr>
        <w:pStyle w:val="ListBullet"/>
        <w:spacing w:after="80" w:line="264" w:lineRule="auto"/>
        <w:jc w:val="both"/>
      </w:pPr>
      <w:r>
        <w:rPr>
          <w:rFonts w:ascii="Times New Roman" w:hAnsi="Times New Roman"/>
          <w:b/>
          <w:sz w:val="20"/>
        </w:rPr>
        <w:t xml:space="preserve">Complete Transparency: </w:t>
      </w:r>
      <w:r>
        <w:rPr>
          <w:rFonts w:ascii="Times New Roman" w:hAnsi="Times New Roman"/>
          <w:sz w:val="20"/>
        </w:rPr>
        <w:t>The integrated RAG Evidence Inspector allows users and clinical evaluators to verify the exact document source, similarity score, and priority rating for every recommendation.</w:t>
      </w:r>
    </w:p>
    <w:p>
      <w:pPr>
        <w:pStyle w:val="ListBullet"/>
        <w:spacing w:after="80" w:line="264" w:lineRule="auto"/>
        <w:jc w:val="both"/>
      </w:pPr>
      <w:r>
        <w:rPr>
          <w:rFonts w:ascii="Times New Roman" w:hAnsi="Times New Roman"/>
          <w:b/>
          <w:sz w:val="20"/>
        </w:rPr>
        <w:t xml:space="preserve">Low Resource Overhead: </w:t>
      </w:r>
      <w:r>
        <w:rPr>
          <w:rFonts w:ascii="Times New Roman" w:hAnsi="Times New Roman"/>
          <w:sz w:val="20"/>
        </w:rPr>
        <w:t>The entire application runs efficiently on standard CPU infrastructure without requiring expensive dedicated GPU clusters.</w:t>
      </w:r>
    </w:p>
    <w:p>
      <w:pPr>
        <w:keepNext/>
        <w:spacing w:before="280" w:after="120"/>
      </w:pPr>
      <w:r>
        <w:rPr>
          <w:rFonts w:ascii="Times New Roman" w:hAnsi="Times New Roman"/>
          <w:b/>
          <w:color w:val="003366"/>
          <w:sz w:val="22"/>
        </w:rPr>
        <w:t>VII. CONCLUSION AND FUTURE SCOPE</w:t>
      </w:r>
    </w:p>
    <w:p>
      <w:pPr>
        <w:spacing w:after="120" w:line="276" w:lineRule="auto"/>
        <w:ind w:firstLine="288"/>
        <w:jc w:val="both"/>
      </w:pPr>
      <w:r>
        <w:rPr>
          <w:rFonts w:ascii="Times New Roman" w:hAnsi="Times New Roman"/>
          <w:sz w:val="20"/>
        </w:rPr>
        <w:t>In this work, we developed and evaluated a production-ready RAG-Based Medical Information System tailored for Warangal district patients. By integrating a dual TF-IDF/FAISS vector retrieval engine with deterministic red-flag safety guardrails, the system delivers fast, grounded medical guidance while ensuring immediate emergency escalation to MGM Hospital Warangal. Future extensions include integrating multi-lingual Telugu speech-to-text input and establishing real-time API sync with District Hospital bed availability portals.</w:t>
      </w:r>
    </w:p>
    <w:p>
      <w:pPr>
        <w:keepNext/>
        <w:spacing w:before="280" w:after="120"/>
      </w:pPr>
      <w:r>
        <w:rPr>
          <w:rFonts w:ascii="Times New Roman" w:hAnsi="Times New Roman"/>
          <w:b/>
          <w:color w:val="003366"/>
          <w:sz w:val="22"/>
        </w:rPr>
        <w:t>VIII. REFERENCES</w:t>
      </w:r>
    </w:p>
    <w:p>
      <w:pPr>
        <w:spacing w:after="80" w:line="240" w:lineRule="auto"/>
        <w:ind w:left="360" w:hanging="360"/>
        <w:jc w:val="both"/>
      </w:pPr>
      <w:r>
        <w:rPr>
          <w:rFonts w:ascii="Times New Roman" w:hAnsi="Times New Roman"/>
          <w:sz w:val="17"/>
        </w:rPr>
        <w:t>[1] P. Lewis, E. Perez, A. Piktus, et al., "Retrieval-augmented generation for knowledge-intensive NLP tasks," in Advances in Neural Information Processing Systems (NeurIPS), vol. 33, pp. 9459–9474, 2020.</w:t>
      </w:r>
    </w:p>
    <w:p>
      <w:pPr>
        <w:spacing w:after="80" w:line="240" w:lineRule="auto"/>
        <w:ind w:left="360" w:hanging="360"/>
        <w:jc w:val="both"/>
      </w:pPr>
      <w:r>
        <w:rPr>
          <w:rFonts w:ascii="Times New Roman" w:hAnsi="Times New Roman"/>
          <w:sz w:val="17"/>
        </w:rPr>
        <w:t>[2] P. Rajpurkar, E. Chen, O. Banerjee, and E. J. Topol, "AI in health and medicine," Nature Medicine, vol. 28, no. 1, pp. 31–38, 2022.</w:t>
      </w:r>
    </w:p>
    <w:p>
      <w:pPr>
        <w:spacing w:after="80" w:line="240" w:lineRule="auto"/>
        <w:ind w:left="360" w:hanging="360"/>
        <w:jc w:val="both"/>
      </w:pPr>
      <w:r>
        <w:rPr>
          <w:rFonts w:ascii="Times New Roman" w:hAnsi="Times New Roman"/>
          <w:sz w:val="17"/>
        </w:rPr>
        <w:t>[3] N. Reimers and I. Gurevych, "Sentence-BERT: Sentence embeddings using Siamese BERT-networks," in Proc. EMNLP-IJCNLP, pp. 3982–3992, 2019.</w:t>
      </w:r>
    </w:p>
    <w:p>
      <w:pPr>
        <w:spacing w:after="80" w:line="240" w:lineRule="auto"/>
        <w:ind w:left="360" w:hanging="360"/>
        <w:jc w:val="both"/>
      </w:pPr>
      <w:r>
        <w:rPr>
          <w:rFonts w:ascii="Times New Roman" w:hAnsi="Times New Roman"/>
          <w:sz w:val="17"/>
        </w:rPr>
        <w:t>[4] J. Johnson, M. Douze, and H. Jégou, "Billion-scale similarity search with GPUs," IEEE Transactions on Big Data, vol. 7, no. 3, pp. 535–547, 2021.</w:t>
      </w:r>
    </w:p>
    <w:p>
      <w:pPr>
        <w:spacing w:after="80" w:line="240" w:lineRule="auto"/>
        <w:ind w:left="360" w:hanging="360"/>
        <w:jc w:val="both"/>
      </w:pPr>
      <w:r>
        <w:rPr>
          <w:rFonts w:ascii="Times New Roman" w:hAnsi="Times New Roman"/>
          <w:sz w:val="17"/>
        </w:rPr>
        <w:t>[5] J. Wei, X. Wang, D. Schuurmans, et al., "Chain-of-thought prompting elicits reasoning in large language models," in Advances in Neural Information Processing Systems (NeurIPS), vol. 35, pp. 24824–24837, 2022.</w:t>
      </w:r>
    </w:p>
    <w:p>
      <w:pPr>
        <w:spacing w:after="80" w:line="240" w:lineRule="auto"/>
        <w:ind w:left="360" w:hanging="360"/>
        <w:jc w:val="both"/>
      </w:pPr>
      <w:r>
        <w:rPr>
          <w:rFonts w:ascii="Times New Roman" w:hAnsi="Times New Roman"/>
          <w:sz w:val="17"/>
        </w:rPr>
        <w:t>[6] A. Singhal, S. Azizi, T. Tu, et al., "Large language models encode clinical knowledge," Nature, vol. 620, pp. 172–180, 2023.</w:t>
      </w:r>
    </w:p>
    <w:p>
      <w:pPr>
        <w:spacing w:after="80" w:line="240" w:lineRule="auto"/>
        <w:ind w:left="360" w:hanging="360"/>
        <w:jc w:val="both"/>
      </w:pPr>
      <w:r>
        <w:rPr>
          <w:rFonts w:ascii="Times New Roman" w:hAnsi="Times New Roman"/>
          <w:sz w:val="17"/>
        </w:rPr>
        <w:t>[7] National Health Authority (NHA) India, "Ayushman Bharat Digital Mission (ABDM) Guidelines and Health Data Standards," Government of India, 2023.</w:t>
      </w:r>
    </w:p>
    <w:p>
      <w:pPr>
        <w:spacing w:after="80" w:line="240" w:lineRule="auto"/>
        <w:ind w:left="360" w:hanging="360"/>
        <w:jc w:val="both"/>
      </w:pPr>
      <w:r>
        <w:rPr>
          <w:rFonts w:ascii="Times New Roman" w:hAnsi="Times New Roman"/>
          <w:sz w:val="17"/>
        </w:rPr>
        <w:t>[8] World Health Organization, "Regulatory considerations on artificial intelligence for health," WHO Guidance Document, Geneva, 2023.</w:t>
      </w:r>
    </w:p>
    <w:p>
      <w:pPr>
        <w:spacing w:after="80" w:line="240" w:lineRule="auto"/>
        <w:ind w:left="360" w:hanging="360"/>
        <w:jc w:val="both"/>
      </w:pPr>
      <w:r>
        <w:rPr>
          <w:rFonts w:ascii="Times New Roman" w:hAnsi="Times New Roman"/>
          <w:sz w:val="17"/>
        </w:rPr>
        <w:t>[9] F. C. Gartz, "Evaluation of vector retrieval and embedding models in clinical decision support systems," IEEE Journal of Biomedical and Health Informatics, vol. 27, no. 4, pp. 1890–1901, 2023.</w:t>
      </w:r>
    </w:p>
    <w:p>
      <w:pPr>
        <w:spacing w:after="80" w:line="240" w:lineRule="auto"/>
        <w:ind w:left="360" w:hanging="360"/>
        <w:jc w:val="both"/>
      </w:pPr>
      <w:r>
        <w:rPr>
          <w:rFonts w:ascii="Times New Roman" w:hAnsi="Times New Roman"/>
          <w:sz w:val="17"/>
        </w:rPr>
        <w:t>[10] Telangana State Health &amp; Family Welfare Department, "Annual Administrative Report on Secondary &amp; Tertiary Care Facilities in Warangal Urban &amp; Rural Districts," Govt. of Telangana,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