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602" w:rsidRDefault="00CE1FF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 xml:space="preserve">Counterfactual </w:t>
      </w:r>
      <w:proofErr w:type="spellStart"/>
      <w:r>
        <w:rPr>
          <w:rFonts w:ascii="Times New Roman" w:hAnsi="Times New Roman" w:cs="Times New Roman"/>
          <w:sz w:val="36"/>
          <w:szCs w:val="36"/>
          <w:lang w:val="en-IN"/>
        </w:rPr>
        <w:t>Explainations</w:t>
      </w:r>
      <w:proofErr w:type="spellEnd"/>
      <w:r>
        <w:rPr>
          <w:rFonts w:ascii="Times New Roman" w:hAnsi="Times New Roman" w:cs="Times New Roman"/>
          <w:sz w:val="36"/>
          <w:szCs w:val="36"/>
          <w:lang w:val="en-IN"/>
        </w:rPr>
        <w:t xml:space="preserve"> for Loan Approval Dataset</w:t>
      </w:r>
    </w:p>
    <w:p w:rsidR="001F0602" w:rsidRDefault="001F0602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Humera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Nuzhat</w:t>
      </w:r>
      <w:proofErr w:type="spellEnd"/>
    </w:p>
    <w:p w:rsidR="00CE1FF8" w:rsidRDefault="00CE1FF8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2303A52083</w:t>
      </w:r>
      <w:bookmarkStart w:id="0" w:name="_GoBack"/>
      <w:bookmarkEnd w:id="0"/>
    </w:p>
    <w:p w:rsidR="001F0602" w:rsidRDefault="00CE1FF8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Batch 39</w:t>
      </w:r>
    </w:p>
    <w:p w:rsidR="001F0602" w:rsidRDefault="001F0602">
      <w:pPr>
        <w:rPr>
          <w:rFonts w:ascii="Times New Roman" w:hAnsi="Times New Roman" w:cs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Objectives and Methodology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The primary objective of this lab is to evaluate how small, actionable changes in applicant features can influence loan approval </w:t>
      </w:r>
      <w:r>
        <w:rPr>
          <w:rFonts w:ascii="Times New Roman" w:hAnsi="Times New Roman"/>
          <w:sz w:val="36"/>
          <w:szCs w:val="36"/>
          <w:lang w:val="en-IN"/>
        </w:rPr>
        <w:t xml:space="preserve">decisions using counterfactual explanations. The overall methodology involves loading and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preprocessing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 a large real-world loan approval dataset, training multiple classifiers, and generating counterfactual instances using the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DiCE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 library. The workflow ex</w:t>
      </w:r>
      <w:r>
        <w:rPr>
          <w:rFonts w:ascii="Times New Roman" w:hAnsi="Times New Roman"/>
          <w:sz w:val="36"/>
          <w:szCs w:val="36"/>
          <w:lang w:val="en-IN"/>
        </w:rPr>
        <w:t>plicitly covers data cleaning, encoding, model training (Logistic Regression and Random Forest), and interpretability analysis through counterfactuals.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Dataset Description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The loan approval dataset contains thousands of records with features relevant to c</w:t>
      </w:r>
      <w:r>
        <w:rPr>
          <w:rFonts w:ascii="Times New Roman" w:hAnsi="Times New Roman"/>
          <w:sz w:val="36"/>
          <w:szCs w:val="36"/>
          <w:lang w:val="en-IN"/>
        </w:rPr>
        <w:t>redit risk, including: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Demographics: education status, number of dependents.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Financial attributes: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income, loan amount, loan term, CIBIL score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, residential/commercial/luxury/bank asset values.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Target variable: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loanstatus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 (Approved/Rejected).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Irrelevant</w:t>
      </w:r>
      <w:r>
        <w:rPr>
          <w:rFonts w:ascii="Times New Roman" w:hAnsi="Times New Roman"/>
          <w:sz w:val="36"/>
          <w:szCs w:val="36"/>
          <w:lang w:val="en-IN"/>
        </w:rPr>
        <w:t xml:space="preserve"> columns (e.g., “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loanid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”) are dropped during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preprocessing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, and categorical variables (e.g., Graduate/Not Graduate, Self Employed) are encoded for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lastRenderedPageBreak/>
        <w:t>modeling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>. Missing values in numeric columns are imputed with medians, while categorical ones use the mode. Th</w:t>
      </w:r>
      <w:r>
        <w:rPr>
          <w:rFonts w:ascii="Times New Roman" w:hAnsi="Times New Roman"/>
          <w:sz w:val="36"/>
          <w:szCs w:val="36"/>
          <w:lang w:val="en-IN"/>
        </w:rPr>
        <w:t>e label distribution is non-trivial, allowing for meaningful model training and evaluation.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Model Performance Results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Both Logistic Regression and Random Forest classifiers are trained on the dataset with proper stratified train-test splitting. Metrics re</w:t>
      </w:r>
      <w:r>
        <w:rPr>
          <w:rFonts w:ascii="Times New Roman" w:hAnsi="Times New Roman"/>
          <w:sz w:val="36"/>
          <w:szCs w:val="36"/>
          <w:lang w:val="en-IN"/>
        </w:rPr>
        <w:t>ported on the test set include: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7960" cy="5542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lastRenderedPageBreak/>
        <w:t>The Random Forest model demonstrates superior performance and is chosen for counterfactual analysis. Model results indicate solid predictive ability, but also highlight practical limitations in feature sensitivity.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Coun</w:t>
      </w:r>
      <w:r>
        <w:rPr>
          <w:rFonts w:ascii="Times New Roman" w:hAnsi="Times New Roman"/>
          <w:b/>
          <w:bCs/>
          <w:sz w:val="36"/>
          <w:szCs w:val="36"/>
          <w:lang w:val="en-IN"/>
        </w:rPr>
        <w:t>terfactual Examples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 xml:space="preserve">Counterfactual explanations are generated for randomly chosen “Rejected” instances using the </w:t>
      </w:r>
      <w:proofErr w:type="spellStart"/>
      <w:r>
        <w:rPr>
          <w:rFonts w:ascii="Times New Roman" w:hAnsi="Times New Roman"/>
          <w:sz w:val="36"/>
          <w:szCs w:val="36"/>
          <w:lang w:val="en-IN"/>
        </w:rPr>
        <w:t>DiCE</w:t>
      </w:r>
      <w:proofErr w:type="spellEnd"/>
      <w:r>
        <w:rPr>
          <w:rFonts w:ascii="Times New Roman" w:hAnsi="Times New Roman"/>
          <w:sz w:val="36"/>
          <w:szCs w:val="36"/>
          <w:lang w:val="en-IN"/>
        </w:rPr>
        <w:t xml:space="preserve"> library. By varying all features, the system creates examples that “flip” the model’s decision to “Approved” with minimal </w:t>
      </w:r>
      <w:proofErr w:type="gramStart"/>
      <w:r>
        <w:rPr>
          <w:rFonts w:ascii="Times New Roman" w:hAnsi="Times New Roman"/>
          <w:sz w:val="36"/>
          <w:szCs w:val="36"/>
          <w:lang w:val="en-IN"/>
        </w:rPr>
        <w:t>change(</w:t>
      </w:r>
      <w:proofErr w:type="gramEnd"/>
      <w:r>
        <w:rPr>
          <w:rFonts w:ascii="Times New Roman" w:hAnsi="Times New Roman"/>
          <w:sz w:val="36"/>
          <w:szCs w:val="36"/>
          <w:lang w:val="en-IN"/>
        </w:rPr>
        <w:t>see the g</w:t>
      </w:r>
      <w:r>
        <w:rPr>
          <w:rFonts w:ascii="Times New Roman" w:hAnsi="Times New Roman"/>
          <w:sz w:val="36"/>
          <w:szCs w:val="36"/>
          <w:lang w:val="en-IN"/>
        </w:rPr>
        <w:t>enerated image above):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Each counterfactual is compared with the original rejected application, showing the smallest edits required for approval.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64785" cy="387159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lastRenderedPageBreak/>
        <w:t xml:space="preserve">Distances (Euclidean and Manhattan) between the original and counterfactual instances are computed, </w:t>
      </w:r>
      <w:r>
        <w:rPr>
          <w:rFonts w:ascii="Times New Roman" w:hAnsi="Times New Roman"/>
          <w:sz w:val="36"/>
          <w:szCs w:val="36"/>
          <w:lang w:val="en-IN"/>
        </w:rPr>
        <w:t>illustrating how close the applicant is to approval in the feature space.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73040" cy="23469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Interpretations and Reflections</w:t>
      </w: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The experiments prove that small, actionable changes (income, loan amount, credit history) can alter model outcomes for applicants.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Counterfactuals provide clear “what-if” scenarios for stakeholders, increasing trust in the decision process and showing tangible paths to approval.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Such transparency empowers end-users by clarifying how their profiles affect outcomes and what minimum imp</w:t>
      </w:r>
      <w:r>
        <w:rPr>
          <w:rFonts w:ascii="Times New Roman" w:hAnsi="Times New Roman"/>
          <w:sz w:val="36"/>
          <w:szCs w:val="36"/>
          <w:lang w:val="en-IN"/>
        </w:rPr>
        <w:t>rovements can change a rejection into approval.</w:t>
      </w:r>
    </w:p>
    <w:p w:rsidR="001F0602" w:rsidRDefault="001F0602">
      <w:pPr>
        <w:rPr>
          <w:rFonts w:ascii="Times New Roman" w:hAnsi="Times New Roman"/>
          <w:sz w:val="36"/>
          <w:szCs w:val="36"/>
          <w:lang w:val="en-IN"/>
        </w:rPr>
      </w:pPr>
    </w:p>
    <w:p w:rsidR="001F0602" w:rsidRDefault="00CE1FF8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/>
          <w:sz w:val="36"/>
          <w:szCs w:val="36"/>
          <w:lang w:val="en-IN"/>
        </w:rPr>
        <w:t>Model interpretability through counterfactuals expands the practical utility of machine learning for financial services.</w:t>
      </w:r>
    </w:p>
    <w:sectPr w:rsidR="001F06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C2C45"/>
    <w:rsid w:val="001F0602"/>
    <w:rsid w:val="00CE1FF8"/>
    <w:rsid w:val="18DC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1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FF8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1F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FF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Akanksha G</dc:creator>
  <cp:lastModifiedBy>dell</cp:lastModifiedBy>
  <cp:revision>2</cp:revision>
  <dcterms:created xsi:type="dcterms:W3CDTF">2025-09-29T03:43:00Z</dcterms:created>
  <dcterms:modified xsi:type="dcterms:W3CDTF">2025-10-05T12:42:00Z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C2AD7245B55A489EA5EE8F5628CB6EDC_11</vt:lpwstr>
  </property>
</Properties>
</file>