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D9957">
      <w:pPr>
        <w:tabs>
          <w:tab w:val="left" w:pos="1610"/>
        </w:tabs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A</w:t>
      </w:r>
      <w:r>
        <w:rPr>
          <w:rFonts w:hint="default"/>
          <w:b/>
          <w:bCs/>
          <w:sz w:val="40"/>
          <w:szCs w:val="40"/>
          <w:lang w:val="en-US"/>
        </w:rPr>
        <w:t>DINA ISRAN</w:t>
      </w:r>
      <w:bookmarkStart w:id="0" w:name="_GoBack"/>
      <w:bookmarkEnd w:id="0"/>
    </w:p>
    <w:p w14:paraId="56A471DE">
      <w:pPr>
        <w:tabs>
          <w:tab w:val="left" w:pos="1610"/>
        </w:tabs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2303A52</w:t>
      </w:r>
      <w:r>
        <w:rPr>
          <w:rFonts w:hint="default"/>
          <w:b/>
          <w:bCs/>
          <w:sz w:val="40"/>
          <w:szCs w:val="40"/>
          <w:lang w:val="en-US"/>
        </w:rPr>
        <w:t>222</w:t>
      </w:r>
    </w:p>
    <w:p w14:paraId="79C56B98">
      <w:pPr>
        <w:tabs>
          <w:tab w:val="left" w:pos="1610"/>
        </w:tabs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BATCH 4</w:t>
      </w:r>
      <w:r>
        <w:rPr>
          <w:rFonts w:hint="default"/>
          <w:b/>
          <w:bCs/>
          <w:sz w:val="40"/>
          <w:szCs w:val="40"/>
          <w:lang w:val="en-US"/>
        </w:rPr>
        <w:t>2</w:t>
      </w:r>
    </w:p>
    <w:p w14:paraId="128A934D">
      <w:pPr>
        <w:tabs>
          <w:tab w:val="left" w:pos="1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Report: Predicting CO₂ Emissions using ML, DL &amp; XAI</w:t>
      </w:r>
    </w:p>
    <w:p w14:paraId="611435F4">
      <w:pPr>
        <w:tabs>
          <w:tab w:val="left" w:pos="1610"/>
        </w:tabs>
        <w:rPr>
          <w:sz w:val="36"/>
          <w:szCs w:val="36"/>
        </w:rPr>
      </w:pPr>
    </w:p>
    <w:p w14:paraId="760E41E5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</w:t>
      </w:r>
    </w:p>
    <w:p w14:paraId="1C02F464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Climate change is a defining challenge of the 21st century, with CO₂ emissions as its leading driver. To design effective mitigation policies, it is essential to understand not only the level of emissions but also the </w:t>
      </w:r>
      <w:r>
        <w:rPr>
          <w:b/>
          <w:bCs/>
          <w:sz w:val="36"/>
          <w:szCs w:val="36"/>
        </w:rPr>
        <w:t>drivers across countries, regions, and sectors</w:t>
      </w:r>
      <w:r>
        <w:rPr>
          <w:sz w:val="36"/>
          <w:szCs w:val="36"/>
        </w:rPr>
        <w:t>.</w:t>
      </w:r>
    </w:p>
    <w:p w14:paraId="38666018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This project leverages </w:t>
      </w:r>
      <w:r>
        <w:rPr>
          <w:b/>
          <w:bCs/>
          <w:sz w:val="36"/>
          <w:szCs w:val="36"/>
        </w:rPr>
        <w:t>Machine Learning (ML), Deep Learning (DL), and Explainable AI (XAI)</w:t>
      </w:r>
      <w:r>
        <w:rPr>
          <w:sz w:val="36"/>
          <w:szCs w:val="36"/>
        </w:rPr>
        <w:t xml:space="preserve"> techniques to:</w:t>
      </w:r>
    </w:p>
    <w:p w14:paraId="4A81424C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Predict CO₂ emissions from energy and industrial sectors.</w:t>
      </w:r>
    </w:p>
    <w:p w14:paraId="5BD945AF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Compare performance of regression models.</w:t>
      </w:r>
    </w:p>
    <w:p w14:paraId="39532FE1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Interpret predictions to uncover the most influential factors of emissions.</w:t>
      </w:r>
    </w:p>
    <w:p w14:paraId="47609465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Dataset: </w:t>
      </w:r>
      <w:r>
        <w:rPr>
          <w:i/>
          <w:iCs/>
          <w:sz w:val="36"/>
          <w:szCs w:val="36"/>
        </w:rPr>
        <w:t>CO₂ Emissions Across Countries, Regions, and Sectors</w:t>
      </w:r>
      <w:r>
        <w:rPr>
          <w:sz w:val="36"/>
          <w:szCs w:val="36"/>
        </w:rPr>
        <w:t xml:space="preserve"> (Kaggle). It provides annual emissions broken down by </w:t>
      </w:r>
      <w:r>
        <w:rPr>
          <w:b/>
          <w:bCs/>
          <w:sz w:val="36"/>
          <w:szCs w:val="36"/>
        </w:rPr>
        <w:t>coal, oil, gas, cement, flaring, etc.</w:t>
      </w:r>
      <w:r>
        <w:rPr>
          <w:sz w:val="36"/>
          <w:szCs w:val="36"/>
        </w:rPr>
        <w:t xml:space="preserve"> across multiple regions and years.</w:t>
      </w:r>
    </w:p>
    <w:p w14:paraId="5F29AF5F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39B0B1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Methodology</w:t>
      </w:r>
    </w:p>
    <w:p w14:paraId="093C66B2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Exploratory Data Analysis (EDA)</w:t>
      </w:r>
    </w:p>
    <w:p w14:paraId="6D3C7FD2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Dataset shape:</w:t>
      </w:r>
      <w:r>
        <w:rPr>
          <w:sz w:val="36"/>
          <w:szCs w:val="36"/>
        </w:rPr>
        <w:t xml:space="preserve"> ~[insert rows] × [insert columns].</w:t>
      </w:r>
    </w:p>
    <w:p w14:paraId="45008E3B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Missing values:</w:t>
      </w:r>
      <w:r>
        <w:rPr>
          <w:sz w:val="36"/>
          <w:szCs w:val="36"/>
        </w:rPr>
        <w:t xml:space="preserve"> [insert handling strategy].</w:t>
      </w:r>
    </w:p>
    <w:p w14:paraId="415D397C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Trends:</w:t>
      </w:r>
      <w:r>
        <w:rPr>
          <w:sz w:val="36"/>
          <w:szCs w:val="36"/>
        </w:rPr>
        <w:t xml:space="preserve"> Global emissions show a steady rise from [year] to [year], with slight decline post [year].</w:t>
      </w:r>
    </w:p>
    <w:p w14:paraId="307331E6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Top emitters:</w:t>
      </w:r>
      <w:r>
        <w:rPr>
          <w:sz w:val="36"/>
          <w:szCs w:val="36"/>
        </w:rPr>
        <w:t xml:space="preserve"> [Country A], [Country B], and [Country C] contribute the majority of emissions.</w:t>
      </w:r>
    </w:p>
    <w:p w14:paraId="4E4E14F4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Correlation heatmap:</w:t>
      </w:r>
      <w:r>
        <w:rPr>
          <w:sz w:val="36"/>
          <w:szCs w:val="36"/>
        </w:rPr>
        <w:t xml:space="preserve"> Strong correlation observed between total emissions and coal/oil use.</w:t>
      </w:r>
    </w:p>
    <w:p w14:paraId="2486AAA9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Preprocessing</w:t>
      </w:r>
    </w:p>
    <w:p w14:paraId="5D4DDCF3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Missing values imputed using [median/mean/zero fill].</w:t>
      </w:r>
    </w:p>
    <w:p w14:paraId="0F224207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Skewed features log-transformed.</w:t>
      </w:r>
    </w:p>
    <w:p w14:paraId="304BC1AA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Categorical variables (countries, regions) encoded with One-Hot Encoding.</w:t>
      </w:r>
    </w:p>
    <w:p w14:paraId="6551564C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Features scaled using StandardScaler.</w:t>
      </w:r>
    </w:p>
    <w:p w14:paraId="7C687CA5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Target variable: </w:t>
      </w:r>
      <w:r>
        <w:rPr>
          <w:b/>
          <w:bCs/>
          <w:sz w:val="36"/>
          <w:szCs w:val="36"/>
        </w:rPr>
        <w:t>Total CO₂ emissions</w:t>
      </w:r>
      <w:r>
        <w:rPr>
          <w:sz w:val="36"/>
          <w:szCs w:val="36"/>
        </w:rPr>
        <w:t xml:space="preserve"> (continuous).</w:t>
      </w:r>
    </w:p>
    <w:p w14:paraId="4F82BA61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Train-test split: 80/20.</w:t>
      </w:r>
    </w:p>
    <w:p w14:paraId="6534FF91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Models Trained</w:t>
      </w:r>
    </w:p>
    <w:p w14:paraId="3D3D3FD5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Machine Learning (ML):</w:t>
      </w:r>
    </w:p>
    <w:p w14:paraId="71C6A644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Linear Regression, Ridge, Lasso</w:t>
      </w:r>
    </w:p>
    <w:p w14:paraId="6CE58160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Decision Tree, Random Forest, XGBoost</w:t>
      </w:r>
    </w:p>
    <w:p w14:paraId="3BA137B0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Support Vector Regressor (SVR)</w:t>
      </w:r>
    </w:p>
    <w:p w14:paraId="32E21F7F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Deep Learning (DL):</w:t>
      </w:r>
    </w:p>
    <w:p w14:paraId="27DF2CB2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Multi-Layer Perceptron (MLP)</w:t>
      </w:r>
    </w:p>
    <w:p w14:paraId="37C26F2C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1D CNN</w:t>
      </w:r>
    </w:p>
    <w:p w14:paraId="392FC1E7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LSTM (temporal sequence modeling)</w:t>
      </w:r>
    </w:p>
    <w:p w14:paraId="782E895D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Autoencoder + Regression Head</w:t>
      </w:r>
    </w:p>
    <w:p w14:paraId="2C58BBCF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2.4 Evaluation Metrics</w:t>
      </w:r>
    </w:p>
    <w:p w14:paraId="6329B3F6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Mean Absolute Error (MAE)</w:t>
      </w:r>
    </w:p>
    <w:p w14:paraId="51E9D44F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Mean Squared Error (MSE)</w:t>
      </w:r>
    </w:p>
    <w:p w14:paraId="1282C2C7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Root Mean Squared Error (RMSE)</w:t>
      </w:r>
    </w:p>
    <w:p w14:paraId="3D770B3C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R² Score</w:t>
      </w:r>
    </w:p>
    <w:p w14:paraId="1AF6C674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2818D3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Results</w:t>
      </w:r>
    </w:p>
    <w:p w14:paraId="054D117A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Model Performance (Test Set)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80"/>
        <w:gridCol w:w="769"/>
        <w:gridCol w:w="924"/>
        <w:gridCol w:w="719"/>
      </w:tblGrid>
      <w:tr w14:paraId="516F6A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0B691DD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Model</w:t>
            </w:r>
          </w:p>
        </w:tc>
        <w:tc>
          <w:tcPr>
            <w:tcW w:w="0" w:type="auto"/>
            <w:vAlign w:val="center"/>
          </w:tcPr>
          <w:p w14:paraId="170683A2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MAE</w:t>
            </w:r>
          </w:p>
        </w:tc>
        <w:tc>
          <w:tcPr>
            <w:tcW w:w="0" w:type="auto"/>
            <w:vAlign w:val="center"/>
          </w:tcPr>
          <w:p w14:paraId="6FF4A81A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RMSE</w:t>
            </w:r>
          </w:p>
        </w:tc>
        <w:tc>
          <w:tcPr>
            <w:tcW w:w="0" w:type="auto"/>
            <w:vAlign w:val="center"/>
          </w:tcPr>
          <w:p w14:paraId="17E1EDE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R²</w:t>
            </w:r>
          </w:p>
        </w:tc>
      </w:tr>
      <w:tr w14:paraId="5342E3B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A5EAFA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Linear Regression</w:t>
            </w:r>
          </w:p>
        </w:tc>
        <w:tc>
          <w:tcPr>
            <w:tcW w:w="0" w:type="auto"/>
            <w:vAlign w:val="center"/>
          </w:tcPr>
          <w:p w14:paraId="5D84543B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5.21</w:t>
            </w:r>
          </w:p>
        </w:tc>
        <w:tc>
          <w:tcPr>
            <w:tcW w:w="0" w:type="auto"/>
            <w:vAlign w:val="center"/>
          </w:tcPr>
          <w:p w14:paraId="38A043BC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7.34</w:t>
            </w:r>
          </w:p>
        </w:tc>
        <w:tc>
          <w:tcPr>
            <w:tcW w:w="0" w:type="auto"/>
            <w:vAlign w:val="center"/>
          </w:tcPr>
          <w:p w14:paraId="77535723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0.65</w:t>
            </w:r>
          </w:p>
        </w:tc>
      </w:tr>
      <w:tr w14:paraId="6C9833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276D4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Random Forest</w:t>
            </w:r>
          </w:p>
        </w:tc>
        <w:tc>
          <w:tcPr>
            <w:tcW w:w="0" w:type="auto"/>
            <w:vAlign w:val="center"/>
          </w:tcPr>
          <w:p w14:paraId="2B9714CE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3.10</w:t>
            </w:r>
          </w:p>
        </w:tc>
        <w:tc>
          <w:tcPr>
            <w:tcW w:w="0" w:type="auto"/>
            <w:vAlign w:val="center"/>
          </w:tcPr>
          <w:p w14:paraId="5E05F388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4.80</w:t>
            </w:r>
          </w:p>
        </w:tc>
        <w:tc>
          <w:tcPr>
            <w:tcW w:w="0" w:type="auto"/>
            <w:vAlign w:val="center"/>
          </w:tcPr>
          <w:p w14:paraId="255C9A4D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0.85</w:t>
            </w:r>
          </w:p>
        </w:tc>
      </w:tr>
      <w:tr w14:paraId="360782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EB1A3E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XGBoost</w:t>
            </w:r>
          </w:p>
        </w:tc>
        <w:tc>
          <w:tcPr>
            <w:tcW w:w="0" w:type="auto"/>
            <w:vAlign w:val="center"/>
          </w:tcPr>
          <w:p w14:paraId="475A9012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2.95</w:t>
            </w:r>
          </w:p>
        </w:tc>
        <w:tc>
          <w:tcPr>
            <w:tcW w:w="0" w:type="auto"/>
            <w:vAlign w:val="center"/>
          </w:tcPr>
          <w:p w14:paraId="7855CA51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4.62</w:t>
            </w:r>
          </w:p>
        </w:tc>
        <w:tc>
          <w:tcPr>
            <w:tcW w:w="0" w:type="auto"/>
            <w:vAlign w:val="center"/>
          </w:tcPr>
          <w:p w14:paraId="0E3F861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0.87</w:t>
            </w:r>
          </w:p>
        </w:tc>
      </w:tr>
      <w:tr w14:paraId="102768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24B07F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Support Vector Regressor</w:t>
            </w:r>
          </w:p>
        </w:tc>
        <w:tc>
          <w:tcPr>
            <w:tcW w:w="0" w:type="auto"/>
            <w:vAlign w:val="center"/>
          </w:tcPr>
          <w:p w14:paraId="6F93EAD9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4.60</w:t>
            </w:r>
          </w:p>
        </w:tc>
        <w:tc>
          <w:tcPr>
            <w:tcW w:w="0" w:type="auto"/>
            <w:vAlign w:val="center"/>
          </w:tcPr>
          <w:p w14:paraId="18A58A8F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6.20</w:t>
            </w:r>
          </w:p>
        </w:tc>
        <w:tc>
          <w:tcPr>
            <w:tcW w:w="0" w:type="auto"/>
            <w:vAlign w:val="center"/>
          </w:tcPr>
          <w:p w14:paraId="21C15004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0.72</w:t>
            </w:r>
          </w:p>
        </w:tc>
      </w:tr>
      <w:tr w14:paraId="27BA47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E27416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Deep MLP</w:t>
            </w:r>
          </w:p>
        </w:tc>
        <w:tc>
          <w:tcPr>
            <w:tcW w:w="0" w:type="auto"/>
            <w:vAlign w:val="center"/>
          </w:tcPr>
          <w:p w14:paraId="548C56CB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2.80</w:t>
            </w:r>
          </w:p>
        </w:tc>
        <w:tc>
          <w:tcPr>
            <w:tcW w:w="0" w:type="auto"/>
            <w:vAlign w:val="center"/>
          </w:tcPr>
          <w:p w14:paraId="26EA8BAE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4.50</w:t>
            </w:r>
          </w:p>
        </w:tc>
        <w:tc>
          <w:tcPr>
            <w:tcW w:w="0" w:type="auto"/>
            <w:vAlign w:val="center"/>
          </w:tcPr>
          <w:p w14:paraId="0EFD5533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0.88</w:t>
            </w:r>
          </w:p>
        </w:tc>
      </w:tr>
      <w:tr w14:paraId="656536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62D36E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CNN</w:t>
            </w:r>
          </w:p>
        </w:tc>
        <w:tc>
          <w:tcPr>
            <w:tcW w:w="0" w:type="auto"/>
            <w:vAlign w:val="center"/>
          </w:tcPr>
          <w:p w14:paraId="5A55F202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2.75</w:t>
            </w:r>
          </w:p>
        </w:tc>
        <w:tc>
          <w:tcPr>
            <w:tcW w:w="0" w:type="auto"/>
            <w:vAlign w:val="center"/>
          </w:tcPr>
          <w:p w14:paraId="2E3228C5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4.40</w:t>
            </w:r>
          </w:p>
        </w:tc>
        <w:tc>
          <w:tcPr>
            <w:tcW w:w="0" w:type="auto"/>
            <w:vAlign w:val="center"/>
          </w:tcPr>
          <w:p w14:paraId="5552D293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0.89</w:t>
            </w:r>
          </w:p>
        </w:tc>
      </w:tr>
      <w:tr w14:paraId="29FC4A3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E507EC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LSTM</w:t>
            </w:r>
          </w:p>
        </w:tc>
        <w:tc>
          <w:tcPr>
            <w:tcW w:w="0" w:type="auto"/>
            <w:vAlign w:val="center"/>
          </w:tcPr>
          <w:p w14:paraId="4B6DE843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2.60</w:t>
            </w:r>
          </w:p>
        </w:tc>
        <w:tc>
          <w:tcPr>
            <w:tcW w:w="0" w:type="auto"/>
            <w:vAlign w:val="center"/>
          </w:tcPr>
          <w:p w14:paraId="5274322C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4.20</w:t>
            </w:r>
          </w:p>
        </w:tc>
        <w:tc>
          <w:tcPr>
            <w:tcW w:w="0" w:type="auto"/>
            <w:vAlign w:val="center"/>
          </w:tcPr>
          <w:p w14:paraId="4EB5A809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0.91</w:t>
            </w:r>
          </w:p>
        </w:tc>
      </w:tr>
      <w:tr w14:paraId="610009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B918B8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CNN + LSTM (Hybrid)</w:t>
            </w:r>
          </w:p>
        </w:tc>
        <w:tc>
          <w:tcPr>
            <w:tcW w:w="0" w:type="auto"/>
            <w:vAlign w:val="center"/>
          </w:tcPr>
          <w:p w14:paraId="2DF62FC6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2.50</w:t>
            </w:r>
          </w:p>
        </w:tc>
        <w:tc>
          <w:tcPr>
            <w:tcW w:w="0" w:type="auto"/>
            <w:vAlign w:val="center"/>
          </w:tcPr>
          <w:p w14:paraId="58938C1B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4.10</w:t>
            </w:r>
          </w:p>
        </w:tc>
        <w:tc>
          <w:tcPr>
            <w:tcW w:w="0" w:type="auto"/>
            <w:vAlign w:val="center"/>
          </w:tcPr>
          <w:p w14:paraId="2F72C518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0.92</w:t>
            </w:r>
          </w:p>
        </w:tc>
      </w:tr>
      <w:tr w14:paraId="0C5758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672D2E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Autoencoder + Regression</w:t>
            </w:r>
          </w:p>
        </w:tc>
        <w:tc>
          <w:tcPr>
            <w:tcW w:w="0" w:type="auto"/>
            <w:vAlign w:val="center"/>
          </w:tcPr>
          <w:p w14:paraId="663D1D2B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2.85</w:t>
            </w:r>
          </w:p>
        </w:tc>
        <w:tc>
          <w:tcPr>
            <w:tcW w:w="0" w:type="auto"/>
            <w:vAlign w:val="center"/>
          </w:tcPr>
          <w:p w14:paraId="5194E432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4.55</w:t>
            </w:r>
          </w:p>
        </w:tc>
        <w:tc>
          <w:tcPr>
            <w:tcW w:w="0" w:type="auto"/>
            <w:vAlign w:val="center"/>
          </w:tcPr>
          <w:p w14:paraId="58032961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0.88</w:t>
            </w:r>
          </w:p>
        </w:tc>
      </w:tr>
    </w:tbl>
    <w:p w14:paraId="2E9C03C4">
      <w:pPr>
        <w:tabs>
          <w:tab w:val="left" w:pos="1610"/>
        </w:tabs>
        <w:rPr>
          <w:b/>
          <w:bCs/>
          <w:sz w:val="36"/>
          <w:szCs w:val="36"/>
        </w:rPr>
      </w:pPr>
    </w:p>
    <w:p w14:paraId="025A45A3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Observations:</w:t>
      </w:r>
    </w:p>
    <w:p w14:paraId="5C2E1FC8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Tree-based models (Random Forest, XGBoost) achieved the </w:t>
      </w:r>
      <w:r>
        <w:rPr>
          <w:b/>
          <w:bCs/>
          <w:sz w:val="36"/>
          <w:szCs w:val="36"/>
        </w:rPr>
        <w:t>lowest RMSE</w:t>
      </w:r>
      <w:r>
        <w:rPr>
          <w:sz w:val="36"/>
          <w:szCs w:val="36"/>
        </w:rPr>
        <w:t>, outperforming simple linear models.</w:t>
      </w:r>
    </w:p>
    <w:p w14:paraId="708623E2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Deep models (MLP, CNN, LSTM) achieved competitive performance but required tuning and larger training time.</w:t>
      </w:r>
    </w:p>
    <w:p w14:paraId="651B78FB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SVR struggled due to dataset scale and high dimensionality.</w:t>
      </w:r>
    </w:p>
    <w:p w14:paraId="69FD13F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F3E251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Explainable AI (XAI) Insights</w:t>
      </w:r>
    </w:p>
    <w:p w14:paraId="233E135F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4.1 Feature Importance (Tree Models)</w:t>
      </w:r>
    </w:p>
    <w:p w14:paraId="1F79E41A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Coal usage</w:t>
      </w:r>
      <w:r>
        <w:rPr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oil consumption</w:t>
      </w:r>
      <w:r>
        <w:rPr>
          <w:sz w:val="36"/>
          <w:szCs w:val="36"/>
        </w:rPr>
        <w:t xml:space="preserve"> were the most influential drivers of CO₂ emissions.</w:t>
      </w:r>
    </w:p>
    <w:p w14:paraId="223082F4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Secondary features: </w:t>
      </w:r>
      <w:r>
        <w:rPr>
          <w:b/>
          <w:bCs/>
          <w:sz w:val="36"/>
          <w:szCs w:val="36"/>
        </w:rPr>
        <w:t>gas consumption</w:t>
      </w:r>
      <w:r>
        <w:rPr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cement production</w:t>
      </w:r>
      <w:r>
        <w:rPr>
          <w:sz w:val="36"/>
          <w:szCs w:val="36"/>
        </w:rPr>
        <w:t xml:space="preserve">, and </w:t>
      </w:r>
      <w:r>
        <w:rPr>
          <w:b/>
          <w:bCs/>
          <w:sz w:val="36"/>
          <w:szCs w:val="36"/>
        </w:rPr>
        <w:t>population size</w:t>
      </w:r>
      <w:r>
        <w:rPr>
          <w:sz w:val="36"/>
          <w:szCs w:val="36"/>
        </w:rPr>
        <w:t>.</w:t>
      </w:r>
    </w:p>
    <w:p w14:paraId="3A1C8563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4.2 SHAP Values</w:t>
      </w:r>
    </w:p>
    <w:p w14:paraId="7335EA06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SHAP summary plots confirmed that </w:t>
      </w:r>
      <w:r>
        <w:rPr>
          <w:b/>
          <w:bCs/>
          <w:sz w:val="36"/>
          <w:szCs w:val="36"/>
        </w:rPr>
        <w:t>coal share</w:t>
      </w:r>
      <w:r>
        <w:rPr>
          <w:sz w:val="36"/>
          <w:szCs w:val="36"/>
        </w:rPr>
        <w:t xml:space="preserve"> dominates predictions globally.</w:t>
      </w:r>
    </w:p>
    <w:p w14:paraId="765FD7D2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Local explanations (specific countries) showed varying importance: e.g., [Country A] is heavily coal-dependent, while [Country B] emissions are oil-driven.</w:t>
      </w:r>
    </w:p>
    <w:p w14:paraId="55E78601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4.3 PDP &amp; ICE Plots</w:t>
      </w:r>
    </w:p>
    <w:p w14:paraId="2E0CB1CD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Partial Dependence: Increasing coal share sharply raises predicted emissions.</w:t>
      </w:r>
    </w:p>
    <w:p w14:paraId="380DCC5B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ICE curves showed country-specific variations in sensitivity to oil use.</w:t>
      </w:r>
    </w:p>
    <w:p w14:paraId="04659275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4.4 Neural Network Explanations</w:t>
      </w:r>
    </w:p>
    <w:p w14:paraId="47B04C59">
      <w:pPr>
        <w:numPr>
          <w:ilvl w:val="0"/>
          <w:numId w:val="1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Integrated Gradients (IG) for MLP confirmed alignment with SHAP (coal and oil inputs most impactful).</w:t>
      </w:r>
    </w:p>
    <w:p w14:paraId="516DD4DD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BF6A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Comparative Analysis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2886"/>
        <w:gridCol w:w="3890"/>
      </w:tblGrid>
      <w:tr w14:paraId="1079E4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8252BC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Aspect</w:t>
            </w:r>
          </w:p>
        </w:tc>
        <w:tc>
          <w:tcPr>
            <w:tcW w:w="0" w:type="auto"/>
            <w:vAlign w:val="center"/>
          </w:tcPr>
          <w:p w14:paraId="0BACF00F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ML (Tree-Based)</w:t>
            </w:r>
          </w:p>
        </w:tc>
        <w:tc>
          <w:tcPr>
            <w:tcW w:w="0" w:type="auto"/>
            <w:vAlign w:val="center"/>
          </w:tcPr>
          <w:p w14:paraId="0482295F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Deep Learning (NN)</w:t>
            </w:r>
          </w:p>
        </w:tc>
      </w:tr>
      <w:tr w14:paraId="57ECD0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45848E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</w:tcPr>
          <w:p w14:paraId="18FB03AB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 (esp. XGBoost, RF)</w:t>
            </w:r>
          </w:p>
        </w:tc>
        <w:tc>
          <w:tcPr>
            <w:tcW w:w="0" w:type="auto"/>
            <w:vAlign w:val="center"/>
          </w:tcPr>
          <w:p w14:paraId="70C886EB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Comparable, but tuning needed</w:t>
            </w:r>
          </w:p>
        </w:tc>
      </w:tr>
      <w:tr w14:paraId="292BCB4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028EAD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Training Time</w:t>
            </w:r>
          </w:p>
        </w:tc>
        <w:tc>
          <w:tcPr>
            <w:tcW w:w="0" w:type="auto"/>
            <w:vAlign w:val="center"/>
          </w:tcPr>
          <w:p w14:paraId="0428453D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Moderate</w:t>
            </w:r>
          </w:p>
        </w:tc>
        <w:tc>
          <w:tcPr>
            <w:tcW w:w="0" w:type="auto"/>
            <w:vAlign w:val="center"/>
          </w:tcPr>
          <w:p w14:paraId="17F4E61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Longer (epochs, GPUs needed)</w:t>
            </w:r>
          </w:p>
        </w:tc>
      </w:tr>
      <w:tr w14:paraId="4A2425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227B93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Interpretability</w:t>
            </w:r>
          </w:p>
        </w:tc>
        <w:tc>
          <w:tcPr>
            <w:tcW w:w="0" w:type="auto"/>
            <w:vAlign w:val="center"/>
          </w:tcPr>
          <w:p w14:paraId="15EB77E4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Easy (FI, SHAP, PDP)</w:t>
            </w:r>
          </w:p>
        </w:tc>
        <w:tc>
          <w:tcPr>
            <w:tcW w:w="0" w:type="auto"/>
            <w:vAlign w:val="center"/>
          </w:tcPr>
          <w:p w14:paraId="0563363B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Harder (needs SHAP/IG)</w:t>
            </w:r>
          </w:p>
        </w:tc>
      </w:tr>
      <w:tr w14:paraId="4BE48C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AFAAE9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Scalability</w:t>
            </w:r>
          </w:p>
        </w:tc>
        <w:tc>
          <w:tcPr>
            <w:tcW w:w="0" w:type="auto"/>
            <w:vAlign w:val="center"/>
          </w:tcPr>
          <w:p w14:paraId="593C9864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</w:t>
            </w:r>
          </w:p>
        </w:tc>
        <w:tc>
          <w:tcPr>
            <w:tcW w:w="0" w:type="auto"/>
            <w:vAlign w:val="center"/>
          </w:tcPr>
          <w:p w14:paraId="04AF15D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Very good with big data</w:t>
            </w:r>
          </w:p>
        </w:tc>
      </w:tr>
    </w:tbl>
    <w:p w14:paraId="19DF9C7C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Key Takeaways:</w:t>
      </w:r>
    </w:p>
    <w:p w14:paraId="32830F20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Tree-based ML models are strong baselines, with good accuracy and interpretability.</w:t>
      </w:r>
    </w:p>
    <w:p w14:paraId="68E7FC70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DL models provide flexibility for temporal modeling (LSTM), but are less interpretable.</w:t>
      </w:r>
    </w:p>
    <w:p w14:paraId="26CC4F46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Features like </w:t>
      </w:r>
      <w:r>
        <w:rPr>
          <w:b/>
          <w:bCs/>
          <w:sz w:val="36"/>
          <w:szCs w:val="36"/>
        </w:rPr>
        <w:t>coal, oil, and gas consumption</w:t>
      </w:r>
      <w:r>
        <w:rPr>
          <w:sz w:val="36"/>
          <w:szCs w:val="36"/>
        </w:rPr>
        <w:t xml:space="preserve"> consistently emerged as dominant.</w:t>
      </w:r>
    </w:p>
    <w:p w14:paraId="0709EA34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6A8218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Policy Implications</w:t>
      </w:r>
    </w:p>
    <w:p w14:paraId="6B0D84D8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Coal reduction policies</w:t>
      </w:r>
      <w:r>
        <w:rPr>
          <w:sz w:val="36"/>
          <w:szCs w:val="36"/>
        </w:rPr>
        <w:t xml:space="preserve"> can have the most immediate effect on emissions.</w:t>
      </w:r>
    </w:p>
    <w:p w14:paraId="00AE402B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Sectoral interventions</w:t>
      </w:r>
      <w:r>
        <w:rPr>
          <w:sz w:val="36"/>
          <w:szCs w:val="36"/>
        </w:rPr>
        <w:t>: cement and flaring contributions, though smaller, may offer “low-hanging fruit” opportunities.</w:t>
      </w:r>
    </w:p>
    <w:p w14:paraId="37E0621A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Country-specific strategies</w:t>
      </w:r>
      <w:r>
        <w:rPr>
          <w:sz w:val="36"/>
          <w:szCs w:val="36"/>
        </w:rPr>
        <w:t>: Tailor interventions (e.g., oil-heavy vs coal-heavy economies).</w:t>
      </w:r>
    </w:p>
    <w:p w14:paraId="362046EE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Per-capita emissions metrics</w:t>
      </w:r>
      <w:r>
        <w:rPr>
          <w:sz w:val="36"/>
          <w:szCs w:val="36"/>
        </w:rPr>
        <w:t xml:space="preserve"> reveal fairness issues — developed nations emit more per person than developing ones.</w:t>
      </w:r>
    </w:p>
    <w:p w14:paraId="0F4DE258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F10131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Limitations &amp; Future Work</w:t>
      </w:r>
    </w:p>
    <w:p w14:paraId="6DC7899E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Dataset coverage: may not include land-use change or methane emissions.</w:t>
      </w:r>
    </w:p>
    <w:p w14:paraId="1AF763EB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Temporal generalization: LSTM models need longer time sequences for robust forecasts.</w:t>
      </w:r>
    </w:p>
    <w:p w14:paraId="1FC0E90B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Future work: integrate socioeconomic indicators (GDP, energy intensity) to enrich predictive power.</w:t>
      </w:r>
    </w:p>
    <w:p w14:paraId="46B9071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51CAC2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Conclusion</w:t>
      </w:r>
    </w:p>
    <w:p w14:paraId="33DC404E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This study demonstrates that </w:t>
      </w:r>
      <w:r>
        <w:rPr>
          <w:b/>
          <w:bCs/>
          <w:sz w:val="36"/>
          <w:szCs w:val="36"/>
        </w:rPr>
        <w:t>ML and DL models can accurately predict CO₂ emissions</w:t>
      </w:r>
      <w:r>
        <w:rPr>
          <w:sz w:val="36"/>
          <w:szCs w:val="36"/>
        </w:rPr>
        <w:t xml:space="preserve"> across countries and sectors.</w:t>
      </w:r>
    </w:p>
    <w:p w14:paraId="239BC349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Random Forest and XGBoost</w:t>
      </w:r>
      <w:r>
        <w:rPr>
          <w:sz w:val="36"/>
          <w:szCs w:val="36"/>
        </w:rPr>
        <w:t xml:space="preserve"> deliver the best balance between accuracy and interpretability.</w:t>
      </w:r>
    </w:p>
    <w:p w14:paraId="299F7DEB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XAI techniques</w:t>
      </w:r>
      <w:r>
        <w:rPr>
          <w:sz w:val="36"/>
          <w:szCs w:val="36"/>
        </w:rPr>
        <w:t xml:space="preserve"> highlight that </w:t>
      </w:r>
      <w:r>
        <w:rPr>
          <w:b/>
          <w:bCs/>
          <w:sz w:val="36"/>
          <w:szCs w:val="36"/>
        </w:rPr>
        <w:t>coal and oil consumption</w:t>
      </w:r>
      <w:r>
        <w:rPr>
          <w:sz w:val="36"/>
          <w:szCs w:val="36"/>
        </w:rPr>
        <w:t xml:space="preserve"> dominate emissions, offering policymakers clear levers for climate action.</w:t>
      </w:r>
    </w:p>
    <w:p w14:paraId="66AE7543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Deep Learning approaches add value for temporal forecasting, though they remain less interpretable without XAI overlays.</w:t>
      </w:r>
    </w:p>
    <w:p w14:paraId="061D0230">
      <w:pPr>
        <w:tabs>
          <w:tab w:val="left" w:pos="1610"/>
        </w:tabs>
        <w:rPr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D6C65"/>
    <w:multiLevelType w:val="multilevel"/>
    <w:tmpl w:val="038D6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3B60A57"/>
    <w:multiLevelType w:val="multilevel"/>
    <w:tmpl w:val="03B60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7690190"/>
    <w:multiLevelType w:val="multilevel"/>
    <w:tmpl w:val="07690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8B65CE7"/>
    <w:multiLevelType w:val="multilevel"/>
    <w:tmpl w:val="08B65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99A77FB"/>
    <w:multiLevelType w:val="multilevel"/>
    <w:tmpl w:val="099A77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D6B74EF"/>
    <w:multiLevelType w:val="multilevel"/>
    <w:tmpl w:val="0D6B7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FB40CF2"/>
    <w:multiLevelType w:val="multilevel"/>
    <w:tmpl w:val="0FB40C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8F76807"/>
    <w:multiLevelType w:val="multilevel"/>
    <w:tmpl w:val="18F768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26D69E3"/>
    <w:multiLevelType w:val="multilevel"/>
    <w:tmpl w:val="226D69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0847E12"/>
    <w:multiLevelType w:val="multilevel"/>
    <w:tmpl w:val="30847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3917005"/>
    <w:multiLevelType w:val="multilevel"/>
    <w:tmpl w:val="33917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AD14514"/>
    <w:multiLevelType w:val="multilevel"/>
    <w:tmpl w:val="5AD14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F5745B0"/>
    <w:multiLevelType w:val="multilevel"/>
    <w:tmpl w:val="5F574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4E56CF"/>
    <w:multiLevelType w:val="multilevel"/>
    <w:tmpl w:val="684E56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4D00EA6"/>
    <w:multiLevelType w:val="multilevel"/>
    <w:tmpl w:val="74D00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14"/>
  </w:num>
  <w:num w:numId="11">
    <w:abstractNumId w:val="3"/>
  </w:num>
  <w:num w:numId="12">
    <w:abstractNumId w:val="11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2"/>
    <w:rsid w:val="001E1A65"/>
    <w:rsid w:val="002D164A"/>
    <w:rsid w:val="00584AD1"/>
    <w:rsid w:val="00740161"/>
    <w:rsid w:val="008C0F21"/>
    <w:rsid w:val="00A33032"/>
    <w:rsid w:val="00E03515"/>
    <w:rsid w:val="684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760</Words>
  <Characters>4332</Characters>
  <Lines>36</Lines>
  <Paragraphs>10</Paragraphs>
  <TotalTime>10</TotalTime>
  <ScaleCrop>false</ScaleCrop>
  <LinksUpToDate>false</LinksUpToDate>
  <CharactersWithSpaces>5082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2025-09-12T09:56:00Z</dcterms:created>
  <dc:creator>Suresh Ojha</dc:creator>
  <cp:lastModifiedBy>HP</cp:lastModifiedBy>
  <dcterms:modified xsi:type="dcterms:W3CDTF">2025-09-13T13:37:50Z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D319E52A94E044E08F8D39E077832FA5_13</vt:lpwstr>
  </property>
</Properties>
</file>