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A6E7F37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云南省企业就业失业数据采集系统项目变更单</w:t>
      </w:r>
    </w:p>
    <w:p w14:paraId="22C17A1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文档编号：YN-JY-SY-CHANGE-001</w:t>
      </w:r>
    </w:p>
    <w:p w14:paraId="448281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版本：V1.0</w:t>
      </w:r>
    </w:p>
    <w:p w14:paraId="0E5B86C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变更提交日期：2026年XX月XX日（项目第2周）</w:t>
      </w:r>
    </w:p>
    <w:p w14:paraId="14C2AD3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变更状态：待审批</w:t>
      </w:r>
    </w:p>
    <w:p w14:paraId="5B546CCB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一、变更基本信息</w:t>
      </w:r>
      <w:bookmarkEnd w:id="0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3000"/>
      </w:tblGrid>
      <w:tr w14:paraId="534EF23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83D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7B8C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内容</w:t>
            </w:r>
          </w:p>
        </w:tc>
      </w:tr>
      <w:tr w14:paraId="739DEAC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99310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8CBD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云南省企业就业失业数据采集系统</w:t>
            </w:r>
          </w:p>
        </w:tc>
      </w:tr>
      <w:tr w14:paraId="1359C80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D55F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变更申请人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EAC2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</w:tr>
      <w:tr w14:paraId="00284F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FC0B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申请日期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B25F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2026年XX月XX日（项目第2周）</w:t>
            </w:r>
          </w:p>
        </w:tc>
      </w:tr>
      <w:tr w14:paraId="095AF2F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FA32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变更涉及阶段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ED5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系统设计阶段（当前阶段）、核心功能开发阶段、全功能开发与联调阶段、系统测试与缺陷修复阶段</w:t>
            </w:r>
          </w:p>
        </w:tc>
      </w:tr>
      <w:tr w14:paraId="728A69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5338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变更影响范围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475E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需求规格、数据库设计、UI设计、前端开发、后端开发、测试用例、国家接口对接</w:t>
            </w:r>
          </w:p>
        </w:tc>
      </w:tr>
      <w:tr w14:paraId="252B8DD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A012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变更优先级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1753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高（影响系统核心业务逻辑，需优先落实）</w:t>
            </w:r>
          </w:p>
        </w:tc>
      </w:tr>
      <w:tr w14:paraId="17FCD75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0000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是否影响工期</w:t>
            </w:r>
          </w:p>
        </w:tc>
        <w:tc>
          <w:tcPr>
            <w:tcW w:w="30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A4D2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不影响（项目总工期维持8周不变，仅调整各阶段内部工作内容）</w:t>
            </w:r>
          </w:p>
        </w:tc>
      </w:tr>
    </w:tbl>
    <w:p w14:paraId="3CAAD1BF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二、变更原因</w:t>
      </w:r>
      <w:bookmarkEnd w:id="1"/>
    </w:p>
    <w:p w14:paraId="32F6B5BB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业务需求调整：云南省人社厅（需求方）提出企业就业失业数据上报频率优化要求，原需求中“全年每月上报1次”无法满足一季度数据重点监测需求，需调整上报周期以适配官方监管要求。</w:t>
      </w:r>
    </w:p>
    <w:p w14:paraId="5CC77F49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项目阶段适配：当前项目处于第2周（系统设计阶段），尚未进入大规模开发工作，此时实施需求变更，开发返工成本低、对项目进度影响可控，可在不延长总工期的前提下完成变更落地。</w:t>
      </w:r>
    </w:p>
    <w:p w14:paraId="40F0F9EF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必要性说明：报表上报频率为系统核心业务指标，直接关系到数据采集的及时性和准确性，若不进行变更，将导致系统无法满足需求方核心使用要求，影响项目验收。</w:t>
      </w:r>
    </w:p>
    <w:p w14:paraId="4CB5B44D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三、变更内容明细（原需求→新需求）</w:t>
      </w:r>
      <w:bookmarkEnd w:id="2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6522DB4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BA70B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变更项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3BFF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原需求内容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008D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新需求内容</w:t>
            </w:r>
          </w:p>
        </w:tc>
      </w:tr>
      <w:tr w14:paraId="0BBCE03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B3DB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报表上报频率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EC72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全年统一每月上报1次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53D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1-3月每半个月上报1次；4-12月每月上报1次</w:t>
            </w:r>
          </w:p>
        </w:tc>
      </w:tr>
      <w:tr w14:paraId="6BC9BB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2ED4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上报周期配置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4129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仅支持月度上报周期，无周期切换功能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1B6B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支持半月度、月度双周期自动切换，系统按当前月份自动识别上报类型（1-3月默认半月度，4-12月默认月度）</w:t>
            </w:r>
          </w:p>
        </w:tc>
      </w:tr>
      <w:tr w14:paraId="4B638DC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671C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数据库结构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CCFF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仅包含月度数据相关字段，无周期区分标识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EC69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新增“上报周期类型（半月/月度）”“半月归属月份”“半月序号”3个字段，用于区分不同周期数据，避免混淆</w:t>
            </w:r>
          </w:p>
        </w:tc>
      </w:tr>
      <w:tr w14:paraId="2C46D6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4E6E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前端页面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21B8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仅展示月度报表填报入口及相关页面，无半月度相关设计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02AE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企业端：自动展示当期上报周期（半月/月度），填报页面适配对应周期数据项；2. 市/省端：新增周期筛选功能，支持按半月/月度筛选、审核、查看数据</w:t>
            </w:r>
          </w:p>
        </w:tc>
      </w:tr>
      <w:tr w14:paraId="608ABDB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A8B3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审核与汇总逻辑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E7F8F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全年按每月进行数据审核、汇总及统计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D445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1-3月按每半个月进行数据审核、汇总；4-12月按每月进行数据审核、汇总，支持双周期数据分开统计、合并展示</w:t>
            </w:r>
          </w:p>
        </w:tc>
      </w:tr>
      <w:tr w14:paraId="761C156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862C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数据导出与分析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6C08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仅支持按月度维度导出数据、进行多维分析及图表展示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363C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支持按半月度、月度维度单独导出数据，支持双周期数据对比分析及图表可视化展示</w:t>
            </w:r>
          </w:p>
        </w:tc>
      </w:tr>
      <w:tr w14:paraId="048C7A2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4EF7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国家接口对接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D18D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仅按月度数据格式封装，对接国家失业监测系统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0A5C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按新上报周期封装数据格式（1-3月按半月度上报，4-12月按月度上报），确保与国家失业监测系统接口正常对接，数据同步无误</w:t>
            </w:r>
          </w:p>
        </w:tc>
      </w:tr>
    </w:tbl>
    <w:p w14:paraId="16061E70">
      <w:pPr>
        <w:spacing w:before="320" w:after="120" w:line="288" w:lineRule="auto"/>
        <w:ind w:left="0"/>
        <w:jc w:val="left"/>
        <w:outlineLvl w:val="1"/>
      </w:pPr>
      <w:bookmarkStart w:id="3" w:name="heading_3"/>
      <w:r>
        <w:rPr>
          <w:rFonts w:ascii="Arial" w:hAnsi="Arial" w:eastAsia="等线" w:cs="Arial"/>
          <w:b/>
          <w:sz w:val="32"/>
        </w:rPr>
        <w:t>四、变更影响分析</w:t>
      </w:r>
      <w:bookmarkEnd w:id="3"/>
    </w:p>
    <w:p w14:paraId="04A8FB26">
      <w:pPr>
        <w:spacing w:before="300" w:after="120" w:line="288" w:lineRule="auto"/>
        <w:ind w:left="0"/>
        <w:jc w:val="left"/>
        <w:outlineLvl w:val="2"/>
      </w:pPr>
      <w:bookmarkStart w:id="4" w:name="heading_4"/>
      <w:r>
        <w:rPr>
          <w:rFonts w:ascii="Arial" w:hAnsi="Arial" w:eastAsia="等线" w:cs="Arial"/>
          <w:b/>
          <w:sz w:val="30"/>
        </w:rPr>
        <w:t>4.1 文档影响</w:t>
      </w:r>
      <w:bookmarkEnd w:id="4"/>
    </w:p>
    <w:p w14:paraId="60C102F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需更新项目相关文档：需求规格说明书（更新至V1.1）、产品原型（更新至V1.1）、数据库设计文档、技术方案文档，补充双周期相关内容，确保文档与新需求一致。</w:t>
      </w:r>
    </w:p>
    <w:p w14:paraId="33E1D0E0">
      <w:pPr>
        <w:spacing w:before="300" w:after="120" w:line="288" w:lineRule="auto"/>
        <w:ind w:left="0"/>
        <w:jc w:val="left"/>
        <w:outlineLvl w:val="2"/>
      </w:pPr>
      <w:bookmarkStart w:id="5" w:name="heading_5"/>
      <w:r>
        <w:rPr>
          <w:rFonts w:ascii="Arial" w:hAnsi="Arial" w:eastAsia="等线" w:cs="Arial"/>
          <w:b/>
          <w:sz w:val="30"/>
        </w:rPr>
        <w:t>4.2 设计影响</w:t>
      </w:r>
      <w:bookmarkEnd w:id="5"/>
    </w:p>
    <w:p w14:paraId="19B6912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数据库设计：新增3个周期相关字段，调整数据存储逻辑，无需重构整体数据库架构；2. UI设计：微调企业端、市/省端相关页面，新增周期切换及筛选功能，不改变整体设计风格；3. 技术方案：补充双周期上报、审核、汇总及接口对接逻辑，完善开发规范。</w:t>
      </w:r>
    </w:p>
    <w:p w14:paraId="67C46B71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4.3 开发影响</w:t>
      </w:r>
      <w:bookmarkEnd w:id="6"/>
    </w:p>
    <w:p w14:paraId="441009F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前端开发：新增周期切换、筛选功能，适配双周期填报页面，调整数据展示逻辑，工作量小幅增加；2. 后端开发：新增周期判断、数据校验、汇总统计逻辑，优化接口适配国家系统，无需新增人力，可在原有开发周期内完成。</w:t>
      </w:r>
    </w:p>
    <w:p w14:paraId="0AF17CBA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4.4 测试影响</w:t>
      </w:r>
      <w:bookmarkEnd w:id="7"/>
    </w:p>
    <w:p w14:paraId="12C8903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需新增半月度相关测试用例，重点测试周期切换逻辑、数据准确性、双周期汇总及接口对接功能，测试工作量略有增加，可在原有测试周期（第7周）内完成，不影响整体进度。</w:t>
      </w:r>
    </w:p>
    <w:p w14:paraId="16069FA0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4.5 进度与资源影响</w:t>
      </w:r>
      <w:bookmarkEnd w:id="8"/>
    </w:p>
    <w:p w14:paraId="5E04EA4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进度：项目总工期维持8周不变，仅调整第3-6周开发内容，将原月度相关开发工作调整为双周期开发，不延期；2. 资源：10人项目团队配置不变，无额外人力、物力、财力投入，可利用原有资源完成变更落地。</w:t>
      </w:r>
    </w:p>
    <w:p w14:paraId="485CD57C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五、变更实施方案（结合当前第2周进度）</w:t>
      </w:r>
      <w:bookmarkEnd w:id="9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12E9987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B776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实施阶段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366D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时间节点（项目周期）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B7CE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核心实施内容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DA71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责任人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6436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交付物</w:t>
            </w:r>
          </w:p>
        </w:tc>
      </w:tr>
      <w:tr w14:paraId="4BC6021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F00B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变更评审与文档更新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CA901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第2周（当前）剩余3个工作日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2E15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组织需求方、产品、开发、测试团队进行变更评审；2. 产品经理更新需求规格说明书、产品原型（V1.1）；3. 后端工程师更新数据库设计文档、技术方案文档；4. UI设计师调整UI设计稿。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B105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项目经理（统筹）、产品经理、后端工程师、UI设计师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9BCA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变更评审纪要、更新版需求规格说明书（V1.1）、产品原型（V1.1）、数据库设计文档（更新版）、技术方案文档（更新版）、调整后UI设计稿</w:t>
            </w:r>
          </w:p>
        </w:tc>
      </w:tr>
      <w:tr w14:paraId="29E33E4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08A7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双周期核心功能开发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56FE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第3-4周（核心功能开发阶段）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8F90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后端：开发周期判断、数据校验、基础审核接口，完成数据库字段新增及逻辑调整；2. 前端：开发周期切换、填报页面适配、基础筛选功能，完成页面交互优化。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87A3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前端开发工程师、后端开发工程师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3A52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双周期核心开发代码、内部联调报告（含双周期功能联调情况）</w:t>
            </w:r>
          </w:p>
        </w:tc>
      </w:tr>
      <w:tr w14:paraId="2C01599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482B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双周期功能完善与联调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F2EE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第5-6周（全功能开发与联调阶段）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713B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后端：完善双周期汇总、统计、导出接口，适配国家失业监测系统接口；2. 前端：完善周期筛选、数据展示、分析图表功能；3. 前后端联调、与国家系统接口联调，确保双周期功能正常流转。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4865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前端开发工程师、后端开发工程师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EDEB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全功能开发代码（含双周期功能）、前后端联调报告、国家接口对接文档（更新版）</w:t>
            </w:r>
          </w:p>
        </w:tc>
      </w:tr>
      <w:tr w14:paraId="4B79C59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09106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双周期功能测试与缺陷修复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569B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第7周（系统测试与缺陷修复阶段）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EDB65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测试工程师执行双周期相关测试用例，重点测试周期切换、数据准确性、接口同步等功能；2. 开发工程师修复测试发现的缺陷；3. 测试工程师进行回归测试，确保无重大缺陷。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E747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测试工程师、前端/后端开发工程师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A22D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测试用例（含双周期相关）、测试报告（含双周期功能测试结果）、缺陷修复记录</w:t>
            </w:r>
          </w:p>
        </w:tc>
      </w:tr>
      <w:tr w14:paraId="6CBE40B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4A3B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变更落地验收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882F2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第8周（上线部署与验收交付阶段）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9CFF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组织需求方验收双周期相关功能，确认符合变更要求；2. 同步更新用户手册，补充双周期操作说明；3. 开展用户培训，重点讲解双周期填报、审核规范。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159CB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项目经理、产品经理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191F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验收报告、更新版用户手册、培训纪要</w:t>
            </w:r>
          </w:p>
        </w:tc>
      </w:tr>
    </w:tbl>
    <w:p w14:paraId="5D33C0F4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六、变更风险与应对措施</w:t>
      </w:r>
      <w:bookmarkEnd w:id="10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6EAA08F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73F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潜在风险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3DFD6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风险等级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C401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应对措施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109A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责任人</w:t>
            </w:r>
          </w:p>
        </w:tc>
      </w:tr>
      <w:tr w14:paraId="6ADC4A6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443E2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半月度与月度数据混淆，导致汇总、统计错误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810A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E2D9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数据库强制添加周期类型标识，后端增加数据校验逻辑，禁止不同周期数据混存；2. 开发阶段增加数据校验测试，测试阶段重点验证数据准确性；3. 汇总统计时增加周期筛选校验，确保数据分类正确。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9197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后端开发工程师、测试工程师</w:t>
            </w:r>
          </w:p>
        </w:tc>
      </w:tr>
      <w:tr w14:paraId="6BAC3D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97A7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国家失业监测系统接口不兼容半月度数据格式，导致对接失败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8030B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A7F8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第2周变更实施期间，安排后端工程师提前与国家系统对接方沟通，确认接口适配要求；2. 开发备用数据封装格式，若接口不支持半月度，可临时将半月度数据合并为月度数据同步；3. 联调阶段提前测试接口对接情况，及时解决适配问题。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1889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后端开发工程师、项目经理</w:t>
            </w:r>
          </w:p>
        </w:tc>
      </w:tr>
      <w:tr w14:paraId="7062120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3519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开发进度滞后，无法在原有周期内完成双周期功能开发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3AAE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5F9E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每日站会同步双周期开发进度，及时解决开发阻碍；2. 优化分工，优先保障双周期核心功能开发；3. 预留1个工作日缓冲时间，应对突发进度延误，确保不影响总工期。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FC8C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项目经理、前端/后端开发工程师</w:t>
            </w:r>
          </w:p>
        </w:tc>
      </w:tr>
      <w:tr w14:paraId="7BD9BDD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8EBE7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用户对双周期操作不熟悉，影响使用体验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9C29F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C37E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用户手册重点补充双周期操作说明，明确1-3月半月报填报时间及规范；2. 用户培训时重点讲解双周期切换、填报流程，现场解答疑问；3. 系统内增加操作提示，引导用户正确操作。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ACA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</w:tr>
    </w:tbl>
    <w:p w14:paraId="6A4631C3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b/>
          <w:sz w:val="32"/>
        </w:rPr>
        <w:t>七、审批意见</w:t>
      </w:r>
      <w:bookmarkEnd w:id="11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53A148B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A428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审批角色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452F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签字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9AE7E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审批日期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69C45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审批意见</w:t>
            </w:r>
          </w:p>
        </w:tc>
      </w:tr>
      <w:tr w14:paraId="7BACC6C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FF0D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需求方（云南省人社厅）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29926C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01EFB0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E1B47C">
            <w:pPr>
              <w:spacing w:before="120" w:after="120" w:line="288" w:lineRule="auto"/>
              <w:ind w:left="0"/>
              <w:jc w:val="left"/>
            </w:pPr>
          </w:p>
        </w:tc>
      </w:tr>
      <w:tr w14:paraId="1FACF76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5984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2BCFF1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AD99EC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63E5D">
            <w:pPr>
              <w:spacing w:before="120" w:after="120" w:line="288" w:lineRule="auto"/>
              <w:ind w:left="0"/>
              <w:jc w:val="left"/>
            </w:pPr>
          </w:p>
        </w:tc>
      </w:tr>
      <w:tr w14:paraId="3386881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88E3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技术负责人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7B07F9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AAF0BF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935CA0">
            <w:pPr>
              <w:spacing w:before="120" w:after="120" w:line="288" w:lineRule="auto"/>
              <w:ind w:left="0"/>
              <w:jc w:val="left"/>
            </w:pPr>
          </w:p>
        </w:tc>
      </w:tr>
      <w:tr w14:paraId="5B8A906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67B1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418A69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B7AE39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DD6C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同意本次变更，按实施方案推进，确保不影响项目总工期，同步更新相关文档及CM工具记录。</w:t>
            </w:r>
          </w:p>
        </w:tc>
      </w:tr>
    </w:tbl>
    <w:p w14:paraId="5BAA3FB0">
      <w:pPr>
        <w:spacing w:before="120" w:after="120" w:line="288" w:lineRule="auto"/>
        <w:ind w:left="0"/>
        <w:jc w:val="left"/>
      </w:pPr>
      <w:bookmarkStart w:id="12" w:name="_GoBack"/>
      <w:bookmarkEnd w:id="12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3103E28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D72694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404E2E2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3081</Words>
  <Characters>3220</Characters>
  <TotalTime>0</TotalTime>
  <ScaleCrop>false</ScaleCrop>
  <LinksUpToDate>false</LinksUpToDate>
  <CharactersWithSpaces>3266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2026-04-24T12:35:00Z</dcterms:created>
  <dc:creator>Apache POI</dc:creator>
  <cp:lastModifiedBy>孙伊凡</cp:lastModifiedBy>
  <dcterms:modified xsi:type="dcterms:W3CDTF">2026-04-24T12:35:36Z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eyJoZGlkIjoiOTU1M2VkNWVhOWM3MTVkOTNiMTcxNjBkMTlkMzRmZDgiLCJ1c2VySWQiOiIyMzczMjc3MTIifQ==</vt:lpwstr>
  </property>
  <property fmtid="{D5CDD505-2E9C-101B-9397-08002B2CF9AE}" pid="3" name="KSOProductBuildVer">
    <vt:lpwstr>2052-12.1.0.25865</vt:lpwstr>
  </property>
  <property fmtid="{D5CDD505-2E9C-101B-9397-08002B2CF9AE}" pid="4" name="ICV">
    <vt:lpwstr>F70CFEDE2E9F46B089DC85E6E656BE4F_12</vt:lpwstr>
  </property>
</Properties>
</file>