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b/>
          <w:spacing w:val="-2"/>
        </w:rPr>
        <w:t xml:space="preserve">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b/>
          <w:spacing w:val="-2"/>
        </w:rPr>
        <w:t xml:space="preserve">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  <w:sz w:val="22"/>
        </w:rPr>
      </w:pPr>
      <w:r>
        <w:rPr>
          <w:b/>
        </w:rPr>
        <w:t>Register No.: 2307013</w:t>
      </w:r>
      <w:r>
        <w:rPr>
          <w:b/>
          <w:lang w:val="en-US"/>
        </w:rPr>
        <w:t xml:space="preserve">59                                           </w:t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  <w:sz w:val="20"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59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G.Tejaswin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1039</Words>
  <Pages>20</Pages>
  <Characters>5004</Characters>
  <Application>WPS Office</Application>
  <DocSecurity>0</DocSecurity>
  <Paragraphs>375</Paragraphs>
  <ScaleCrop>false</ScaleCrop>
  <LinksUpToDate>false</LinksUpToDate>
  <CharactersWithSpaces>5866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2024-06-14T12:58:52Z</dcterms:created>
  <dc:creator>Surya Prajin S</dc:creator>
  <lastModifiedBy>CPH2467</lastModifiedBy>
  <dcterms:modified xsi:type="dcterms:W3CDTF">2024-06-15T14:07:49Z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4ec1f201e5524b64882138bc07bad35e</vt:lpwstr>
  </property>
</Properties>
</file>