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4"/>
        </w:rPr>
        <w:t>AI Revenue Recovery</w:t>
      </w:r>
    </w:p>
    <w:p>
      <w:pPr>
        <w:jc w:val="center"/>
      </w:pPr>
      <w:r>
        <w:rPr>
          <w:b/>
          <w:sz w:val="40"/>
        </w:rPr>
        <w:t>Implementation Plan v11</w:t>
      </w:r>
    </w:p>
    <w:p>
      <w:pPr>
        <w:jc w:val="center"/>
      </w:pPr>
      <w:r>
        <w:rPr>
          <w:b/>
        </w:rPr>
        <w:t>FROZEN ARCHITECTURE BASELINE</w:t>
      </w:r>
    </w:p>
    <w:p>
      <w:r>
        <w:t>Find revenue that is slipping away and win it back. Build a bounded recovery system that detects revenue at risk, diagnoses the cause, selects an approved intervention, executes it safely, reconciles the outcome, and measures the money actually recovered.</w:t>
      </w:r>
    </w:p>
    <w:p>
      <w:pPr>
        <w:pStyle w:val="Heading1"/>
      </w:pPr>
      <w:r>
        <w:t>1. Executive Summary</w:t>
      </w:r>
    </w:p>
    <w:p>
      <w:r>
        <w:t>This plan defines a staged implementation for an AI Revenue Recovery system. The architecture deliberately separates an 4–8 week sandbox MVP from production-grade financial/customer execution. The MVP proves the recovery loop without live money movement or live customer contact. Production requires a separate readiness program covering policy, compliance, safety, incident response, capacity, experimentation, fairness, security, and evidence.</w:t>
      </w:r>
    </w:p>
    <w:p>
      <w:pPr>
        <w:pStyle w:val="ListBullet"/>
      </w:pPr>
      <w:r>
        <w:t>MVP team: 2–4 engineers, focused on one recovery playbook, one jurisdiction, one currency, and sandbox execution.</w:t>
      </w:r>
    </w:p>
    <w:p>
      <w:pPr>
        <w:pStyle w:val="ListBullet"/>
      </w:pPr>
      <w:r>
        <w:t>Production readiness is a separate cross-functional workstream and is not assumed to be performed by the MVP team.</w:t>
      </w:r>
    </w:p>
    <w:p>
      <w:pPr>
        <w:pStyle w:val="ListBullet"/>
      </w:pPr>
      <w:r>
        <w:t>Real-money and live-customer capabilities are technically isolated from the MVP environment.</w:t>
      </w:r>
    </w:p>
    <w:p>
      <w:pPr>
        <w:pStyle w:val="ListBullet"/>
      </w:pPr>
      <w:r>
        <w:t>AI recommends; deterministic governance decides; cryptographic authorization grants bounded capability; the executor performs the action.</w:t>
      </w:r>
    </w:p>
    <w:p>
      <w:pPr>
        <w:pStyle w:val="ListBullet"/>
      </w:pPr>
      <w:r>
        <w:t>Recovered revenue is reconciled through settlement/dispute states rather than being counted solely at payment success.</w:t>
      </w:r>
    </w:p>
    <w:p>
      <w:pPr>
        <w:pStyle w:val="ListBullet"/>
      </w:pPr>
      <w:r>
        <w:t>Causal claims require controlled experimentation and evidence governance.</w:t>
      </w:r>
    </w:p>
    <w:p>
      <w:pPr>
        <w:pStyle w:val="Heading1"/>
      </w:pPr>
      <w:r>
        <w:t>2. Problem Statement and MVP Goal</w:t>
      </w:r>
    </w:p>
    <w:p>
      <w:r>
        <w:t>Revenue loss can occur through payment failures, checkout abandonment, failed subscriptions, mandate failures, overdue receivables, and related events. The system should close the loop from detection to bounded recovery while preserving customer protections, compliance constraints, auditability, and credible measurement.</w:t>
      </w:r>
    </w:p>
    <w:p>
      <w:r>
        <w:t>MVP success means proving this technical loop:</w:t>
      </w:r>
    </w:p>
    <w:p>
      <w:pPr>
        <w:ind w:left="360"/>
      </w:pPr>
      <w:r>
        <w:rPr>
          <w:rFonts w:ascii="Consolas" w:hAnsi="Consolas"/>
          <w:sz w:val="17"/>
        </w:rPr>
        <w:t>Revenue event → Recovery case → Risk/diagnosis → AI recommendation → Policy gate → Sandbox action → Outcome → Revenue ledger → Evidence</w:t>
      </w:r>
    </w:p>
    <w:p>
      <w:r>
        <w:t>The MVP does not claim production financial recovery.</w:t>
      </w:r>
    </w:p>
    <w:p>
      <w:pPr>
        <w:pStyle w:val="Heading1"/>
      </w:pPr>
      <w:r>
        <w:t>3. Frozen MVP Scope</w:t>
      </w:r>
    </w:p>
    <w:p>
      <w:pPr>
        <w:pStyle w:val="ListBullet"/>
      </w:pPr>
      <w:r>
        <w:t>One recovery playbook, preferably payment-failure recovery.</w:t>
      </w:r>
    </w:p>
    <w:p>
      <w:pPr>
        <w:pStyle w:val="ListBullet"/>
      </w:pPr>
      <w:r>
        <w:t>One jurisdiction and one currency.</w:t>
      </w:r>
    </w:p>
    <w:p>
      <w:pPr>
        <w:pStyle w:val="ListBullet"/>
      </w:pPr>
      <w:r>
        <w:t>Synthetic data as the primary dataset.</w:t>
      </w:r>
    </w:p>
    <w:p>
      <w:pPr>
        <w:pStyle w:val="ListBullet"/>
      </w:pPr>
      <w:r>
        <w:t>De-identified historical data only when needed for validation.</w:t>
      </w:r>
    </w:p>
    <w:p>
      <w:pPr>
        <w:pStyle w:val="ListBullet"/>
      </w:pPr>
      <w:r>
        <w:t>One LLM provider/model at a time.</w:t>
      </w:r>
    </w:p>
    <w:p>
      <w:pPr>
        <w:pStyle w:val="ListBullet"/>
      </w:pPr>
      <w:r>
        <w:t>Sandbox payment simulator, not production payment APIs.</w:t>
      </w:r>
    </w:p>
    <w:p>
      <w:pPr>
        <w:pStyle w:val="ListBullet"/>
      </w:pPr>
      <w:r>
        <w:t>Single product environment with no multi-tenant platform requirement.</w:t>
      </w:r>
    </w:p>
    <w:p>
      <w:pPr>
        <w:pStyle w:val="ListBullet"/>
      </w:pPr>
      <w:r>
        <w:t>Experiment simulation and evidence labeling.</w:t>
      </w:r>
    </w:p>
    <w:p>
      <w:pPr>
        <w:pStyle w:val="ListBullet"/>
      </w:pPr>
      <w:r>
        <w:t>Basic safety controls: authorization boundary, idempotency, audit, kill switch.</w:t>
      </w:r>
    </w:p>
    <w:p>
      <w:r>
        <w:t>Explicit MVP exclusions:</w:t>
      </w:r>
    </w:p>
    <w:p>
      <w:pPr>
        <w:pStyle w:val="ListBullet"/>
      </w:pPr>
      <w:r>
        <w:t>Live autonomous financial actions.</w:t>
      </w:r>
    </w:p>
    <w:p>
      <w:pPr>
        <w:pStyle w:val="ListBullet"/>
      </w:pPr>
      <w:r>
        <w:t>Live recovery communications.</w:t>
      </w:r>
    </w:p>
    <w:p>
      <w:pPr>
        <w:pStyle w:val="ListBullet"/>
      </w:pPr>
      <w:r>
        <w:t>Production payment credentials.</w:t>
      </w:r>
    </w:p>
    <w:p>
      <w:pPr>
        <w:pStyle w:val="ListBullet"/>
      </w:pPr>
      <w:r>
        <w:t>Full multi-jurisdiction regulatory engine.</w:t>
      </w:r>
    </w:p>
    <w:p>
      <w:pPr>
        <w:pStyle w:val="ListBullet"/>
      </w:pPr>
      <w:r>
        <w:t>Multi-tenant infrastructure.</w:t>
      </w:r>
    </w:p>
    <w:p>
      <w:pPr>
        <w:pStyle w:val="ListBullet"/>
      </w:pPr>
      <w:r>
        <w:t>Voice recovery.</w:t>
      </w:r>
    </w:p>
    <w:p>
      <w:pPr>
        <w:pStyle w:val="ListBullet"/>
      </w:pPr>
      <w:r>
        <w:t>Production-scale compliance scheduler/arbitrator unless separately resourced.</w:t>
      </w:r>
    </w:p>
    <w:p>
      <w:pPr>
        <w:pStyle w:val="Heading1"/>
      </w:pPr>
      <w:r>
        <w:t>4. Production Boundary</w:t>
      </w:r>
    </w:p>
    <w:p>
      <w:r>
        <w:t>The boundary between sandbox and production is enforced technically, not by process alone.</w:t>
      </w:r>
    </w:p>
    <w:p>
      <w:pPr>
        <w:ind w:left="360"/>
      </w:pPr>
      <w:r>
        <w:rPr>
          <w:rFonts w:ascii="Consolas" w:hAnsi="Consolas"/>
          <w:sz w:val="17"/>
        </w:rPr>
        <w:t>MVP environment</w:t>
        <w:br/>
        <w:t xml:space="preserve">  ├─ sandbox credentials</w:t>
        <w:br/>
        <w:t xml:space="preserve">  ├─ sandbox endpoints</w:t>
        <w:br/>
        <w:t xml:space="preserve">  ├─ sandbox secrets</w:t>
        <w:br/>
        <w:t xml:space="preserve">  ├─ sandbox data</w:t>
        <w:br/>
        <w:t xml:space="preserve">  └─ NO network path to production payment/messaging systems</w:t>
      </w:r>
    </w:p>
    <w:p>
      <w:pPr>
        <w:pStyle w:val="ListBullet"/>
      </w:pPr>
      <w:r>
        <w:t>Separate environments, accounts/projects, service identities, secret stores, databases, queues, and network policies.</w:t>
      </w:r>
    </w:p>
    <w:p>
      <w:pPr>
        <w:pStyle w:val="ListBullet"/>
      </w:pPr>
      <w:r>
        <w:t>MVP service identities cannot access production payment or messaging APIs.</w:t>
      </w:r>
    </w:p>
    <w:p>
      <w:pPr>
        <w:pStyle w:val="ListBullet"/>
      </w:pPr>
      <w:r>
        <w:t>Production credentials are never mounted into the MVP environment.</w:t>
      </w:r>
    </w:p>
    <w:p>
      <w:pPr>
        <w:pStyle w:val="ListBullet"/>
      </w:pPr>
      <w:r>
        <w:t>Promotion to production requires an approved artifact, production identity, production secrets, and production-readiness approval.</w:t>
      </w:r>
    </w:p>
    <w:p>
      <w:pPr>
        <w:pStyle w:val="ListBullet"/>
      </w:pPr>
      <w:r>
        <w:t>A separate script, repository, pilot, or integration cannot bypass the production-readiness boundary.</w:t>
      </w:r>
    </w:p>
    <w:p>
      <w:pPr>
        <w:pStyle w:val="Heading1"/>
      </w:pPr>
      <w:r>
        <w:t>5. Core Architecture and Authority Model</w:t>
      </w:r>
    </w:p>
    <w:p>
      <w:pPr>
        <w:ind w:left="360"/>
      </w:pPr>
      <w:r>
        <w:rPr>
          <w:rFonts w:ascii="Consolas" w:hAnsi="Consolas"/>
          <w:sz w:val="17"/>
        </w:rPr>
        <w:t>AI</w:t>
        <w:br/>
        <w:t xml:space="preserve"> ↓ recommendation only</w:t>
        <w:br/>
        <w:t>Decision Artifact</w:t>
        <w:br/>
        <w:t xml:space="preserve"> ↓</w:t>
        <w:br/>
        <w:t>Policy Engine</w:t>
        <w:br/>
        <w:t xml:space="preserve"> ↓</w:t>
        <w:br/>
        <w:t>Compliance Scheduler</w:t>
        <w:br/>
        <w:t xml:space="preserve"> ↓</w:t>
        <w:br/>
        <w:t>Control-Plane Arbitrator</w:t>
        <w:br/>
        <w:t xml:space="preserve"> ↓</w:t>
        <w:br/>
        <w:t>Authorization Service</w:t>
        <w:br/>
        <w:t xml:space="preserve"> ↓ cryptographic capability</w:t>
        <w:br/>
        <w:t>Action Executor</w:t>
        <w:br/>
        <w:t xml:space="preserve"> ↓</w:t>
        <w:br/>
        <w:t>External Provider</w:t>
        <w:br/>
        <w:t xml:space="preserve"> ↓</w:t>
        <w:br/>
        <w:t>Reconciliation / Revenue Ledger</w:t>
        <w:br/>
        <w:t xml:space="preserve"> ↓</w:t>
        <w:br/>
        <w:t>Evidence Engine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Component</w:t>
            </w:r>
          </w:p>
        </w:tc>
        <w:tc>
          <w:tcPr>
            <w:tcW w:type="dxa" w:w="2016"/>
          </w:tcPr>
          <w:p>
            <w:r>
              <w:t>Read</w:t>
            </w:r>
          </w:p>
        </w:tc>
        <w:tc>
          <w:tcPr>
            <w:tcW w:type="dxa" w:w="2016"/>
          </w:tcPr>
          <w:p>
            <w:r>
              <w:t>Decide</w:t>
            </w:r>
          </w:p>
        </w:tc>
        <w:tc>
          <w:tcPr>
            <w:tcW w:type="dxa" w:w="2016"/>
          </w:tcPr>
          <w:p>
            <w:r>
              <w:t>Authorize</w:t>
            </w:r>
          </w:p>
        </w:tc>
        <w:tc>
          <w:tcPr>
            <w:tcW w:type="dxa" w:w="2016"/>
          </w:tcPr>
          <w:p>
            <w:r>
              <w:t>Execute</w:t>
            </w:r>
          </w:p>
        </w:tc>
      </w:tr>
      <w:tr>
        <w:tc>
          <w:tcPr>
            <w:tcW w:type="dxa" w:w="2016"/>
          </w:tcPr>
          <w:p>
            <w:r>
              <w:t>AI Engine</w:t>
            </w:r>
          </w:p>
        </w:tc>
        <w:tc>
          <w:tcPr>
            <w:tcW w:type="dxa" w:w="2016"/>
          </w:tcPr>
          <w:p>
            <w:r>
              <w:t>Case/context</w:t>
            </w:r>
          </w:p>
        </w:tc>
        <w:tc>
          <w:tcPr>
            <w:tcW w:type="dxa" w:w="2016"/>
          </w:tcPr>
          <w:p>
            <w:r>
              <w:t>Recommendation</w:t>
            </w:r>
          </w:p>
        </w:tc>
        <w:tc>
          <w:tcPr>
            <w:tcW w:type="dxa" w:w="2016"/>
          </w:tcPr>
          <w:p>
            <w:r>
              <w:t>No</w:t>
            </w:r>
          </w:p>
        </w:tc>
        <w:tc>
          <w:tcPr>
            <w:tcW w:type="dxa" w:w="2016"/>
          </w:tcPr>
          <w:p>
            <w:r>
              <w:t>No</w:t>
            </w:r>
          </w:p>
        </w:tc>
      </w:tr>
      <w:tr>
        <w:tc>
          <w:tcPr>
            <w:tcW w:type="dxa" w:w="2016"/>
          </w:tcPr>
          <w:p>
            <w:r>
              <w:t>Policy Engine</w:t>
            </w:r>
          </w:p>
        </w:tc>
        <w:tc>
          <w:tcPr>
            <w:tcW w:type="dxa" w:w="2016"/>
          </w:tcPr>
          <w:p>
            <w:r>
              <w:t>Policy/context</w:t>
            </w:r>
          </w:p>
        </w:tc>
        <w:tc>
          <w:tcPr>
            <w:tcW w:type="dxa" w:w="2016"/>
          </w:tcPr>
          <w:p>
            <w:r>
              <w:t>Permitted actions</w:t>
            </w:r>
          </w:p>
        </w:tc>
        <w:tc>
          <w:tcPr>
            <w:tcW w:type="dxa" w:w="2016"/>
          </w:tcPr>
          <w:p>
            <w:r>
              <w:t>No</w:t>
            </w:r>
          </w:p>
        </w:tc>
        <w:tc>
          <w:tcPr>
            <w:tcW w:type="dxa" w:w="2016"/>
          </w:tcPr>
          <w:p>
            <w:r>
              <w:t>No</w:t>
            </w:r>
          </w:p>
        </w:tc>
      </w:tr>
      <w:tr>
        <w:tc>
          <w:tcPr>
            <w:tcW w:type="dxa" w:w="2016"/>
          </w:tcPr>
          <w:p>
            <w:r>
              <w:t>Compliance Scheduler</w:t>
            </w:r>
          </w:p>
        </w:tc>
        <w:tc>
          <w:tcPr>
            <w:tcW w:type="dxa" w:w="2016"/>
          </w:tcPr>
          <w:p>
            <w:r>
              <w:t>Obligations</w:t>
            </w:r>
          </w:p>
        </w:tc>
        <w:tc>
          <w:tcPr>
            <w:tcW w:type="dxa" w:w="2016"/>
          </w:tcPr>
          <w:p>
            <w:r>
              <w:t>Ordering</w:t>
            </w:r>
          </w:p>
        </w:tc>
        <w:tc>
          <w:tcPr>
            <w:tcW w:type="dxa" w:w="2016"/>
          </w:tcPr>
          <w:p>
            <w:r>
              <w:t>No</w:t>
            </w:r>
          </w:p>
        </w:tc>
        <w:tc>
          <w:tcPr>
            <w:tcW w:type="dxa" w:w="2016"/>
          </w:tcPr>
          <w:p>
            <w:r>
              <w:t>No</w:t>
            </w:r>
          </w:p>
        </w:tc>
      </w:tr>
      <w:tr>
        <w:tc>
          <w:tcPr>
            <w:tcW w:type="dxa" w:w="2016"/>
          </w:tcPr>
          <w:p>
            <w:r>
              <w:t>Control-Plane Arbitrator</w:t>
            </w:r>
          </w:p>
        </w:tc>
        <w:tc>
          <w:tcPr>
            <w:tcW w:type="dxa" w:w="2016"/>
          </w:tcPr>
          <w:p>
            <w:r>
              <w:t>System state</w:t>
            </w:r>
          </w:p>
        </w:tc>
        <w:tc>
          <w:tcPr>
            <w:tcW w:type="dxa" w:w="2016"/>
          </w:tcPr>
          <w:p>
            <w:r>
              <w:t>Coordination</w:t>
            </w:r>
          </w:p>
        </w:tc>
        <w:tc>
          <w:tcPr>
            <w:tcW w:type="dxa" w:w="2016"/>
          </w:tcPr>
          <w:p>
            <w:r>
              <w:t>No</w:t>
            </w:r>
          </w:p>
        </w:tc>
        <w:tc>
          <w:tcPr>
            <w:tcW w:type="dxa" w:w="2016"/>
          </w:tcPr>
          <w:p>
            <w:r>
              <w:t>No</w:t>
            </w:r>
          </w:p>
        </w:tc>
      </w:tr>
      <w:tr>
        <w:tc>
          <w:tcPr>
            <w:tcW w:type="dxa" w:w="2016"/>
          </w:tcPr>
          <w:p>
            <w:r>
              <w:t>Authorization Service</w:t>
            </w:r>
          </w:p>
        </w:tc>
        <w:tc>
          <w:tcPr>
            <w:tcW w:type="dxa" w:w="2016"/>
          </w:tcPr>
          <w:p>
            <w:r>
              <w:t>Approved decision</w:t>
            </w:r>
          </w:p>
        </w:tc>
        <w:tc>
          <w:tcPr>
            <w:tcW w:type="dxa" w:w="2016"/>
          </w:tcPr>
          <w:p>
            <w:r>
              <w:t>No</w:t>
            </w:r>
          </w:p>
        </w:tc>
        <w:tc>
          <w:tcPr>
            <w:tcW w:type="dxa" w:w="2016"/>
          </w:tcPr>
          <w:p>
            <w:r>
              <w:t>Yes</w:t>
            </w:r>
          </w:p>
        </w:tc>
        <w:tc>
          <w:tcPr>
            <w:tcW w:type="dxa" w:w="2016"/>
          </w:tcPr>
          <w:p>
            <w:r>
              <w:t>No</w:t>
            </w:r>
          </w:p>
        </w:tc>
      </w:tr>
      <w:tr>
        <w:tc>
          <w:tcPr>
            <w:tcW w:type="dxa" w:w="2016"/>
          </w:tcPr>
          <w:p>
            <w:r>
              <w:t>Action Executor</w:t>
            </w:r>
          </w:p>
        </w:tc>
        <w:tc>
          <w:tcPr>
            <w:tcW w:type="dxa" w:w="2016"/>
          </w:tcPr>
          <w:p>
            <w:r>
              <w:t>Authorization</w:t>
            </w:r>
          </w:p>
        </w:tc>
        <w:tc>
          <w:tcPr>
            <w:tcW w:type="dxa" w:w="2016"/>
          </w:tcPr>
          <w:p>
            <w:r>
              <w:t>No</w:t>
            </w:r>
          </w:p>
        </w:tc>
        <w:tc>
          <w:tcPr>
            <w:tcW w:type="dxa" w:w="2016"/>
          </w:tcPr>
          <w:p>
            <w:r>
              <w:t>No</w:t>
            </w:r>
          </w:p>
        </w:tc>
        <w:tc>
          <w:tcPr>
            <w:tcW w:type="dxa" w:w="2016"/>
          </w:tcPr>
          <w:p>
            <w:r>
              <w:t>Yes</w:t>
            </w:r>
          </w:p>
        </w:tc>
      </w:tr>
    </w:tbl>
    <w:p>
      <w:pPr>
        <w:pStyle w:val="Heading1"/>
      </w:pPr>
      <w:r>
        <w:t>6. Capability-Based Security</w:t>
      </w:r>
    </w:p>
    <w:p>
      <w:r>
        <w:t>Authority boundaries must be enforced by access capabilities rather than documentation.</w:t>
      </w:r>
    </w:p>
    <w:p>
      <w:pPr>
        <w:pStyle w:val="ListBullet"/>
      </w:pPr>
      <w:r>
        <w:t>AI service has no payment credentials, messaging credentials, or financial-write permissions.</w:t>
      </w:r>
    </w:p>
    <w:p>
      <w:pPr>
        <w:pStyle w:val="ListBullet"/>
      </w:pPr>
      <w:r>
        <w:t>Policy and Scheduler services cannot call payment or messaging providers.</w:t>
      </w:r>
    </w:p>
    <w:p>
      <w:pPr>
        <w:pStyle w:val="ListBullet"/>
      </w:pPr>
      <w:r>
        <w:t>The Executor accepts only a valid, signed ActionAuthorization.</w:t>
      </w:r>
    </w:p>
    <w:p>
      <w:pPr>
        <w:pStyle w:val="ListBullet"/>
      </w:pPr>
      <w:r>
        <w:t>The Authorization Service is the only service that can mint the production authorization signature.</w:t>
      </w:r>
    </w:p>
    <w:p>
      <w:pPr>
        <w:pStyle w:val="ListBullet"/>
      </w:pPr>
      <w:r>
        <w:t>Signing keys use managed KMS/HSM controls, rotation, versioning, least privilege, and access logging.</w:t>
      </w:r>
    </w:p>
    <w:p>
      <w:pPr>
        <w:pStyle w:val="ListBullet"/>
      </w:pPr>
      <w:r>
        <w:t>Authorization tokens are narrowly scoped to case, action, customer, amount, currency, channel, policy version, decision ID, expiry, and idempotency key.</w:t>
      </w:r>
    </w:p>
    <w:p>
      <w:pPr>
        <w:pStyle w:val="Heading1"/>
      </w:pPr>
      <w:r>
        <w:t>7. AI Decision Artifacts</w:t>
      </w:r>
    </w:p>
    <w:p>
      <w:r>
        <w:t>Every AI recommendation becomes an immutable, versioned Decision Artifact. The Scheduler consumes the artifact rather than making a fresh LLM call during retry.</w:t>
      </w:r>
    </w:p>
    <w:p>
      <w:pPr>
        <w:pStyle w:val="ListBullet"/>
      </w:pPr>
      <w:r>
        <w:t>Record model version, prompt version, tool/schema version, canonical input snapshot hash, output, and timestamp.</w:t>
      </w:r>
    </w:p>
    <w:p>
      <w:pPr>
        <w:pStyle w:val="ListBullet"/>
      </w:pPr>
      <w:r>
        <w:t>Store the complete known model input snapshot where permitted.</w:t>
      </w:r>
    </w:p>
    <w:p>
      <w:pPr>
        <w:pStyle w:val="ListBullet"/>
      </w:pPr>
      <w:r>
        <w:t>Reuse an artifact across scheduler retries.</w:t>
      </w:r>
    </w:p>
    <w:p>
      <w:pPr>
        <w:pStyle w:val="ListBullet"/>
      </w:pPr>
      <w:r>
        <w:t>A material policy change triggers re-evaluation; a new AI artifact is required when the change invalidates reasoning dependencies.</w:t>
      </w:r>
    </w:p>
    <w:p>
      <w:pPr>
        <w:pStyle w:val="ListBullet"/>
      </w:pPr>
      <w:r>
        <w:t>Known dependency tracking does not guarantee detection of every implicit LLM dependency. This remains an explicit residual risk.</w:t>
      </w:r>
    </w:p>
    <w:p>
      <w:pPr>
        <w:pStyle w:val="Heading1"/>
      </w:pPr>
      <w:r>
        <w:t>8. Policy and Compliance</w:t>
      </w:r>
    </w:p>
    <w:p>
      <w:pPr>
        <w:pStyle w:val="ListBullet"/>
      </w:pPr>
      <w:r>
        <w:t>Policies are versioned and have Draft → Review → Test → Simulate → Approve → Stage → Production → Retired lifecycle.</w:t>
      </w:r>
    </w:p>
    <w:p>
      <w:pPr>
        <w:pStyle w:val="ListBullet"/>
      </w:pPr>
      <w:r>
        <w:t>Policy conflicts are resolved using explicit precedence and escalation rules.</w:t>
      </w:r>
    </w:p>
    <w:p>
      <w:pPr>
        <w:pStyle w:val="ListBullet"/>
      </w:pPr>
      <w:r>
        <w:t>Mandatory compliance obligations are not silently dropped by discretionary frequency caps.</w:t>
      </w:r>
    </w:p>
    <w:p>
      <w:pPr>
        <w:pStyle w:val="ListBullet"/>
      </w:pPr>
      <w:r>
        <w:t>Ambiguous cases have defined dwell-time limits and safe fallback behavior.</w:t>
      </w:r>
    </w:p>
    <w:p>
      <w:pPr>
        <w:pStyle w:val="ListBullet"/>
      </w:pPr>
      <w:r>
        <w:t>Emergency policy changes require dual control, audit, post-deployment validation, and automatic rollback triggers where feasible.</w:t>
      </w:r>
    </w:p>
    <w:p>
      <w:pPr>
        <w:pStyle w:val="ListBullet"/>
      </w:pPr>
      <w:r>
        <w:t>Retired policies remain available for audit and in-flight cases use explicit policy-version migration rules.</w:t>
      </w:r>
    </w:p>
    <w:p>
      <w:pPr>
        <w:pStyle w:val="Heading1"/>
      </w:pPr>
      <w:r>
        <w:t>9. Compliance Scheduler</w:t>
      </w:r>
    </w:p>
    <w:p>
      <w:r>
        <w:t>The Scheduler arbitrates among competing mandatory obligations, deadlines, channels, customer restrictions, and available capacity.</w:t>
      </w:r>
    </w:p>
    <w:p>
      <w:pPr>
        <w:pStyle w:val="ListBullet"/>
      </w:pPr>
      <w:r>
        <w:t>Use a behavioral specification as the certification contract.</w:t>
      </w:r>
    </w:p>
    <w:p>
      <w:pPr>
        <w:pStyle w:val="ListBullet"/>
      </w:pPr>
      <w:r>
        <w:t>Use deterministic policy logic, not an LLM, for scheduler decisions.</w:t>
      </w:r>
    </w:p>
    <w:p>
      <w:pPr>
        <w:pStyle w:val="ListBullet"/>
      </w:pPr>
      <w:r>
        <w:t>Run example-based, property-based, adversarial, stress, and failure-injection tests.</w:t>
      </w:r>
    </w:p>
    <w:p>
      <w:pPr>
        <w:pStyle w:val="ListBullet"/>
      </w:pPr>
      <w:r>
        <w:t>Test three-way and multi-way obligation collisions, not only pairwise cases.</w:t>
      </w:r>
    </w:p>
    <w:p>
      <w:pPr>
        <w:pStyle w:val="ListBullet"/>
      </w:pPr>
      <w:r>
        <w:t>Mandatory obligations generated by incidents enter the same authoritative scheduler.</w:t>
      </w:r>
    </w:p>
    <w:p>
      <w:pPr>
        <w:pStyle w:val="ListBullet"/>
      </w:pPr>
      <w:r>
        <w:t>If a genuine legal contradiction cannot be resolved in time, use a pre-approved safest-default path where legally valid; otherwise raise a compliance incident rather than silently improvising.</w:t>
      </w:r>
    </w:p>
    <w:p>
      <w:pPr>
        <w:pStyle w:val="Heading1"/>
      </w:pPr>
      <w:r>
        <w:t>10. Control-Plane Arbitrator</w:t>
      </w:r>
    </w:p>
    <w:p>
      <w:r>
        <w:t>The Arbitrator coordinates Safety, Compliance, Experiment, and Capacity states. It is deterministic control logic, not another AI reasoning layer.</w:t>
      </w:r>
    </w:p>
    <w:p>
      <w:pPr>
        <w:pStyle w:val="ListBullet"/>
      </w:pPr>
      <w:r>
        <w:t>Never create authority that does not already exist.</w:t>
      </w:r>
    </w:p>
    <w:p>
      <w:pPr>
        <w:pStyle w:val="ListBullet"/>
      </w:pPr>
      <w:r>
        <w:t>Never silently discard a mandatory obligation.</w:t>
      </w:r>
    </w:p>
    <w:p>
      <w:pPr>
        <w:pStyle w:val="ListBullet"/>
      </w:pPr>
      <w:r>
        <w:t>Never allow a frozen unsafe action to become executable through retry.</w:t>
      </w:r>
    </w:p>
    <w:p>
      <w:pPr>
        <w:pStyle w:val="ListBullet"/>
      </w:pPr>
      <w:r>
        <w:t>Never change experiment state without recording it.</w:t>
      </w:r>
    </w:p>
    <w:p>
      <w:pPr>
        <w:pStyle w:val="ListBullet"/>
      </w:pPr>
      <w:r>
        <w:t>Never execute financial/customer actions directly.</w:t>
      </w:r>
    </w:p>
    <w:p>
      <w:pPr>
        <w:pStyle w:val="ListBullet"/>
      </w:pPr>
      <w:r>
        <w:t>Always emit a versioned arbitration decision with reproducible inputs.</w:t>
      </w:r>
    </w:p>
    <w:p>
      <w:pPr>
        <w:pStyle w:val="ListBullet"/>
      </w:pPr>
      <w:r>
        <w:t>Arbitrator certification is mandatory before production autonomy.</w:t>
      </w:r>
    </w:p>
    <w:p>
      <w:r>
        <w:t>Cross-loop scenarios include:</w:t>
      </w:r>
    </w:p>
    <w:p>
      <w:pPr>
        <w:pStyle w:val="ListBullet"/>
      </w:pPr>
      <w:r>
        <w:t>P0 incident + compliance deadline.</w:t>
      </w:r>
    </w:p>
    <w:p>
      <w:pPr>
        <w:pStyle w:val="ListBullet"/>
      </w:pPr>
      <w:r>
        <w:t>P0 incident + active experiment.</w:t>
      </w:r>
    </w:p>
    <w:p>
      <w:pPr>
        <w:pStyle w:val="ListBullet"/>
      </w:pPr>
      <w:r>
        <w:t>P0 incident + capacity emergency.</w:t>
      </w:r>
    </w:p>
    <w:p>
      <w:pPr>
        <w:pStyle w:val="ListBullet"/>
      </w:pPr>
      <w:r>
        <w:t>Incident + compliance + experiment + capacity emergency.</w:t>
      </w:r>
    </w:p>
    <w:p>
      <w:pPr>
        <w:pStyle w:val="ListBullet"/>
      </w:pPr>
      <w:r>
        <w:t>Policy migration + deadline.</w:t>
      </w:r>
    </w:p>
    <w:p>
      <w:pPr>
        <w:pStyle w:val="ListBullet"/>
      </w:pPr>
      <w:r>
        <w:t>Canary resumption + experiment + incident.</w:t>
      </w:r>
    </w:p>
    <w:p>
      <w:pPr>
        <w:pStyle w:val="Heading1"/>
      </w:pPr>
      <w:r>
        <w:t>11. Safety and Incident Management</w:t>
      </w:r>
    </w:p>
    <w:p>
      <w:pPr>
        <w:pStyle w:val="ListBullet"/>
      </w:pPr>
      <w:r>
        <w:t>Global kill switch and per-playbook/action controls.</w:t>
      </w:r>
    </w:p>
    <w:p>
      <w:pPr>
        <w:pStyle w:val="ListBullet"/>
      </w:pPr>
      <w:r>
        <w:t>Circuit breakers for duplicate actions, abnormal action rates, or other defined anomalies.</w:t>
      </w:r>
    </w:p>
    <w:p>
      <w:pPr>
        <w:pStyle w:val="ListBullet"/>
      </w:pPr>
      <w:r>
        <w:t>Graceful drain/reconciliation of in-flight work when a freeze occurs.</w:t>
      </w:r>
    </w:p>
    <w:p>
      <w:pPr>
        <w:pStyle w:val="ListBullet"/>
      </w:pPr>
      <w:r>
        <w:t>P0 candidates are independently classified where production governance exists.</w:t>
      </w:r>
    </w:p>
    <w:p>
      <w:pPr>
        <w:pStyle w:val="ListBullet"/>
      </w:pPr>
      <w:r>
        <w:t>A serious incident triggers impact discovery, customer identification, correction/remediation, reconciliation, and compliance obligations.</w:t>
      </w:r>
    </w:p>
    <w:p>
      <w:pPr>
        <w:pStyle w:val="ListBullet"/>
      </w:pPr>
      <w:r>
        <w:t>Incident-generated obligations return to the Compliance Scheduler.</w:t>
      </w:r>
    </w:p>
    <w:p>
      <w:pPr>
        <w:pStyle w:val="ListBullet"/>
      </w:pPr>
      <w:r>
        <w:t>Historical customer data incidents remain real privacy/security incidents even when the MVP cannot move money.</w:t>
      </w:r>
    </w:p>
    <w:p>
      <w:pPr>
        <w:pStyle w:val="Heading1"/>
      </w:pPr>
      <w:r>
        <w:t>12. Human Review and Capacity</w:t>
      </w:r>
    </w:p>
    <w:p>
      <w:pPr>
        <w:pStyle w:val="ListBullet"/>
      </w:pPr>
      <w:r>
        <w:t>Human review has queue state, SLA, reviewer assignment, checkpoint, and escalation state.</w:t>
      </w:r>
    </w:p>
    <w:p>
      <w:pPr>
        <w:pStyle w:val="ListBullet"/>
      </w:pPr>
      <w:r>
        <w:t>Preempted reviews are checkpointed and resumed rather than restarted.</w:t>
      </w:r>
    </w:p>
    <w:p>
      <w:pPr>
        <w:pStyle w:val="ListBullet"/>
      </w:pPr>
      <w:r>
        <w:t>Elastic capacity can be borrowed by normal work but is preemptible for mandatory work.</w:t>
      </w:r>
    </w:p>
    <w:p>
      <w:pPr>
        <w:pStyle w:val="ListBullet"/>
      </w:pPr>
      <w:r>
        <w:t>Capacity models include normal obligations, incident-generated obligations, policy migrations, and manual review.</w:t>
      </w:r>
    </w:p>
    <w:p>
      <w:pPr>
        <w:pStyle w:val="ListBullet"/>
      </w:pPr>
      <w:r>
        <w:t>Systemic reviewer saturation is treated differently from individual reviewer unavailability.</w:t>
      </w:r>
    </w:p>
    <w:p>
      <w:pPr>
        <w:pStyle w:val="ListBullet"/>
      </w:pPr>
      <w:r>
        <w:t>At MVP scale, genuine incentive-independent P0 review may not exist; this is a documented residual risk with compensating post-hoc review rather than an assumed capability.</w:t>
      </w:r>
    </w:p>
    <w:p>
      <w:pPr>
        <w:pStyle w:val="Heading1"/>
      </w:pPr>
      <w:r>
        <w:t>13. Experimentation and Causal Measurement</w:t>
      </w:r>
    </w:p>
    <w:p>
      <w:pPr>
        <w:pStyle w:val="ListBullet"/>
      </w:pPr>
      <w:r>
        <w:t>Use customer-level stratified randomization where appropriate.</w:t>
      </w:r>
    </w:p>
    <w:p>
      <w:pPr>
        <w:pStyle w:val="ListBullet"/>
      </w:pPr>
      <w:r>
        <w:t>Freeze experiment eligibility definitions for the experiment period.</w:t>
      </w:r>
    </w:p>
    <w:p>
      <w:pPr>
        <w:pStyle w:val="ListBullet"/>
      </w:pPr>
      <w:r>
        <w:t>Maintain a control group and record experiment assignment.</w:t>
      </w:r>
    </w:p>
    <w:p>
      <w:pPr>
        <w:pStyle w:val="ListBullet"/>
      </w:pPr>
      <w:r>
        <w:t>Define sample-size and statistical-significance requirements before the experiment.</w:t>
      </w:r>
    </w:p>
    <w:p>
      <w:pPr>
        <w:pStyle w:val="ListBullet"/>
      </w:pPr>
      <w:r>
        <w:t>Exclude or explicitly account for canary periods and incident-contaminated periods.</w:t>
      </w:r>
    </w:p>
    <w:p>
      <w:pPr>
        <w:pStyle w:val="ListBullet"/>
      </w:pPr>
      <w:r>
        <w:t>Report the eligibility funnel: at-risk → addressable → contactable → eligible → treatment/control.</w:t>
      </w:r>
    </w:p>
    <w:p>
      <w:pPr>
        <w:pStyle w:val="ListBullet"/>
      </w:pPr>
      <w:r>
        <w:t>Always disclose the fraction of at-risk revenue that was eligible.</w:t>
      </w:r>
    </w:p>
    <w:p>
      <w:r>
        <w:t>Backtesting is a model-validation tool, not a substitute for causal experimentation.</w:t>
      </w:r>
    </w:p>
    <w:p>
      <w:pPr>
        <w:pStyle w:val="Heading1"/>
      </w:pPr>
      <w:r>
        <w:t>14. Revenue Ledger and Reconciliation</w:t>
      </w:r>
    </w:p>
    <w:p>
      <w:pPr>
        <w:pStyle w:val="ListBullet"/>
      </w:pPr>
      <w:r>
        <w:t>Separate payment success, settlement, confirmed recovery, and dispute/chargeback states.</w:t>
      </w:r>
    </w:p>
    <w:p>
      <w:pPr>
        <w:pStyle w:val="ListBullet"/>
      </w:pPr>
      <w:r>
        <w:t>Support partial payments.</w:t>
      </w:r>
    </w:p>
    <w:p>
      <w:pPr>
        <w:pStyle w:val="ListBullet"/>
      </w:pPr>
      <w:r>
        <w:t>Reconcile gateway outcomes with the internal ledger.</w:t>
      </w:r>
    </w:p>
    <w:p>
      <w:pPr>
        <w:pStyle w:val="ListBullet"/>
      </w:pPr>
      <w:r>
        <w:t>Track negative adjustments from disputes and chargebacks.</w:t>
      </w:r>
    </w:p>
    <w:p>
      <w:pPr>
        <w:pStyle w:val="ListBullet"/>
      </w:pPr>
      <w:r>
        <w:t>Distinguish gross recovery from confirmed/net recovery.</w:t>
      </w:r>
    </w:p>
    <w:p>
      <w:pPr>
        <w:pStyle w:val="ListBullet"/>
      </w:pPr>
      <w:r>
        <w:t>Preserve immutable financial event history.</w:t>
      </w:r>
    </w:p>
    <w:p>
      <w:pPr>
        <w:pStyle w:val="Heading1"/>
      </w:pPr>
      <w:r>
        <w:t>15. Evidence Governance</w:t>
      </w:r>
    </w:p>
    <w:p>
      <w:pPr>
        <w:pStyle w:val="ListBullet"/>
      </w:pPr>
      <w:r>
        <w:t>Every headline metric has a registry definition and required reporting state.</w:t>
      </w:r>
    </w:p>
    <w:p>
      <w:pPr>
        <w:pStyle w:val="ListBullet"/>
      </w:pPr>
      <w:r>
        <w:t>Required metrics cannot silently disappear.</w:t>
      </w:r>
    </w:p>
    <w:p>
      <w:pPr>
        <w:pStyle w:val="ListBullet"/>
      </w:pPr>
      <w:r>
        <w:t>Evidence states include APPROVED, EXPERIMENTAL, DIRECTIONAL, NOT_REPORTABLE, and DATA_PENDING.</w:t>
      </w:r>
    </w:p>
    <w:p>
      <w:pPr>
        <w:pStyle w:val="ListBullet"/>
      </w:pPr>
      <w:r>
        <w:t>Blocked metrics record one or more cause-specific blocking reasons.</w:t>
      </w:r>
    </w:p>
    <w:p>
      <w:pPr>
        <w:pStyle w:val="ListBullet"/>
      </w:pPr>
      <w:r>
        <w:t>Reason-code definitions are versioned and independently governed.</w:t>
      </w:r>
    </w:p>
    <w:p>
      <w:pPr>
        <w:pStyle w:val="ListBullet"/>
      </w:pPr>
      <w:r>
        <w:t>Approved interim statements are generated from the actual blocking cause, not generic boilerplate.</w:t>
      </w:r>
    </w:p>
    <w:p>
      <w:pPr>
        <w:pStyle w:val="ListBullet"/>
      </w:pPr>
      <w:r>
        <w:t>Exports carry provenance metadata wherever technically possible; CSV/JSON stripping remains a residual organizational risk.</w:t>
      </w:r>
    </w:p>
    <w:p>
      <w:r>
        <w:t>Example headline reporting:</w:t>
      </w:r>
    </w:p>
    <w:p>
      <w:pPr>
        <w:ind w:left="360"/>
      </w:pPr>
      <w:r>
        <w:rPr>
          <w:rFonts w:ascii="Consolas" w:hAnsi="Consolas"/>
          <w:sz w:val="17"/>
        </w:rPr>
        <w:t>Gross recovered: ₹X</w:t>
        <w:br/>
        <w:t>Confirmed recovered: ₹Y</w:t>
        <w:br/>
        <w:t>Incremental recovery: NOT_REPORTABLE</w:t>
        <w:br/>
        <w:t>Blocking reasons: INCIDENT_CONTAMINATION, DATA_RECONCILIATION_PENDING</w:t>
      </w:r>
    </w:p>
    <w:p>
      <w:pPr>
        <w:pStyle w:val="Heading1"/>
      </w:pPr>
      <w:r>
        <w:t>16. Model Lifecycle and Rollback</w:t>
      </w:r>
    </w:p>
    <w:p>
      <w:pPr>
        <w:pStyle w:val="ListBullet"/>
      </w:pPr>
      <w:r>
        <w:t>Model/provider changes are treated as deployment events.</w:t>
      </w:r>
    </w:p>
    <w:p>
      <w:pPr>
        <w:pStyle w:val="ListBullet"/>
      </w:pPr>
      <w:r>
        <w:t>A new model version enters shadow validation before autonomous production use.</w:t>
      </w:r>
    </w:p>
    <w:p>
      <w:pPr>
        <w:pStyle w:val="ListBullet"/>
      </w:pPr>
      <w:r>
        <w:t>Validation includes accuracy, calibration, security, prompt-injection, and regression tests.</w:t>
      </w:r>
    </w:p>
    <w:p>
      <w:pPr>
        <w:pStyle w:val="ListBullet"/>
      </w:pPr>
      <w:r>
        <w:t>Maintain a previous known-good model.</w:t>
      </w:r>
    </w:p>
    <w:p>
      <w:pPr>
        <w:pStyle w:val="ListBullet"/>
      </w:pPr>
      <w:r>
        <w:t>Model rollback freezes the failing model for new decisions.</w:t>
      </w:r>
    </w:p>
    <w:p>
      <w:pPr>
        <w:pStyle w:val="ListBullet"/>
      </w:pPr>
      <w:r>
        <w:t>Artifacts produced during the exposure window are discovered and classified as unused, safe, potentially affected, or confirmed affected.</w:t>
      </w:r>
    </w:p>
    <w:p>
      <w:pPr>
        <w:pStyle w:val="ListBullet"/>
      </w:pPr>
      <w:r>
        <w:t>Executed affected actions enter the common incident/correction workflow.</w:t>
      </w:r>
    </w:p>
    <w:p>
      <w:pPr>
        <w:pStyle w:val="ListBullet"/>
      </w:pPr>
      <w:r>
        <w:t>Historical artifacts remain immutable; they are never rewritten to pretend a different model produced them.</w:t>
      </w:r>
    </w:p>
    <w:p>
      <w:pPr>
        <w:pStyle w:val="Heading1"/>
      </w:pPr>
      <w:r>
        <w:t>17. Fairness and Organizational Governance</w:t>
      </w:r>
    </w:p>
    <w:p>
      <w:pPr>
        <w:pStyle w:val="ListBullet"/>
      </w:pPr>
      <w:r>
        <w:t>Use a standard, independently governed segment registry.</w:t>
      </w:r>
    </w:p>
    <w:p>
      <w:pPr>
        <w:pStyle w:val="ListBullet"/>
      </w:pPr>
      <w:r>
        <w:t>Test proxy variables such as geography, payment method, and device type where relevant.</w:t>
      </w:r>
    </w:p>
    <w:p>
      <w:pPr>
        <w:pStyle w:val="ListBullet"/>
      </w:pPr>
      <w:r>
        <w:t>Apply predefined statistical and materiality thresholds.</w:t>
      </w:r>
    </w:p>
    <w:p>
      <w:pPr>
        <w:pStyle w:val="ListBullet"/>
      </w:pPr>
      <w:r>
        <w:t>Require independent adjudication of material disparities.</w:t>
      </w:r>
    </w:p>
    <w:p>
      <w:pPr>
        <w:pStyle w:val="ListBullet"/>
      </w:pPr>
      <w:r>
        <w:t>Operational metrics that influence staffing or safety decisions receive review independent of the team being measured.</w:t>
      </w:r>
    </w:p>
    <w:p>
      <w:pPr>
        <w:pStyle w:val="ListBullet"/>
      </w:pPr>
      <w:r>
        <w:t>External/rotating review is used where genuine incentive independence cannot be provided internally.</w:t>
      </w:r>
    </w:p>
    <w:p>
      <w:pPr>
        <w:pStyle w:val="Heading1"/>
      </w:pPr>
      <w:r>
        <w:t>18. ADR and Architecture Conformance</w:t>
      </w:r>
    </w:p>
    <w:p>
      <w:r>
        <w:t>Every critical architectural decision must survive translation into implementation.</w:t>
      </w:r>
    </w:p>
    <w:p>
      <w:pPr>
        <w:ind w:left="360"/>
      </w:pPr>
      <w:r>
        <w:rPr>
          <w:rFonts w:ascii="Consolas" w:hAnsi="Consolas"/>
          <w:sz w:val="17"/>
        </w:rPr>
        <w:t>ADR → Implementation Requirement → API/Schema/IAM Requirement → Code/Config → Automated Test</w:t>
      </w:r>
    </w:p>
    <w:p>
      <w:pPr>
        <w:pStyle w:val="ListBullet"/>
      </w:pPr>
      <w:r>
        <w:t>Maintain an Architecture Conformance Matrix.</w:t>
      </w:r>
    </w:p>
    <w:p>
      <w:pPr>
        <w:pStyle w:val="ListBullet"/>
      </w:pPr>
      <w:r>
        <w:t>Map every critical authority invariant to concrete IAM/network/API controls.</w:t>
      </w:r>
    </w:p>
    <w:p>
      <w:pPr>
        <w:pStyle w:val="ListBullet"/>
      </w:pPr>
      <w:r>
        <w:t>Review schemas and APIs before engineering tickets are created.</w:t>
      </w:r>
    </w:p>
    <w:p>
      <w:pPr>
        <w:pStyle w:val="ListBullet"/>
      </w:pPr>
      <w:r>
        <w:t>Use automated security tests where possible to prove forbidden capabilities remain unavailable.</w:t>
      </w:r>
    </w:p>
    <w:p>
      <w:pPr>
        <w:pStyle w:val="ListBullet"/>
      </w:pPr>
      <w:r>
        <w:t>Treat architecture drift as a re-certification trigger when material.</w:t>
      </w:r>
    </w:p>
    <w:p>
      <w:pPr>
        <w:pStyle w:val="Heading1"/>
      </w:pPr>
      <w:r>
        <w:t>19. MVP and Production Resourcing</w:t>
      </w:r>
    </w:p>
    <w:tbl>
      <w:tblPr>
        <w:tblStyle w:val="TableGrid"/>
        <w:tblW w:type="auto" w:w="0"/>
        <w:tblLook w:firstColumn="1" w:firstRow="1" w:lastColumn="0" w:lastRow="0" w:noHBand="0" w:noVBand="1" w:val="04A0"/>
      </w:tblPr>
      <w:tblGrid>
        <w:gridCol w:w="3360"/>
        <w:gridCol w:w="3360"/>
        <w:gridCol w:w="3360"/>
      </w:tblGrid>
      <w:tr>
        <w:tc>
          <w:tcPr>
            <w:tcW w:type="dxa" w:w="3360"/>
          </w:tcPr>
          <w:p>
            <w:r>
              <w:t>Workstream</w:t>
            </w:r>
          </w:p>
        </w:tc>
        <w:tc>
          <w:tcPr>
            <w:tcW w:type="dxa" w:w="3360"/>
          </w:tcPr>
          <w:p>
            <w:r>
              <w:t>Resourcing</w:t>
            </w:r>
          </w:p>
        </w:tc>
        <w:tc>
          <w:tcPr>
            <w:tcW w:type="dxa" w:w="3360"/>
          </w:tcPr>
          <w:p>
            <w:r>
              <w:t>Target</w:t>
            </w:r>
          </w:p>
        </w:tc>
      </w:tr>
      <w:tr>
        <w:tc>
          <w:tcPr>
            <w:tcW w:type="dxa" w:w="3360"/>
          </w:tcPr>
          <w:p>
            <w:r>
              <w:t>MVP</w:t>
            </w:r>
          </w:p>
        </w:tc>
        <w:tc>
          <w:tcPr>
            <w:tcW w:type="dxa" w:w="3360"/>
          </w:tcPr>
          <w:p>
            <w:r>
              <w:t>2–4 engineers</w:t>
            </w:r>
          </w:p>
        </w:tc>
        <w:tc>
          <w:tcPr>
            <w:tcW w:type="dxa" w:w="3360"/>
          </w:tcPr>
          <w:p>
            <w:r>
              <w:t>4–8 weeks</w:t>
            </w:r>
          </w:p>
        </w:tc>
      </w:tr>
      <w:tr>
        <w:tc>
          <w:tcPr>
            <w:tcW w:type="dxa" w:w="3360"/>
          </w:tcPr>
          <w:p>
            <w:r>
              <w:t>Production readiness</w:t>
            </w:r>
          </w:p>
        </w:tc>
        <w:tc>
          <w:tcPr>
            <w:tcW w:type="dxa" w:w="3360"/>
          </w:tcPr>
          <w:p>
            <w:r>
              <w:t>Engineering + AI/ML + Security + Risk/Compliance + Data + Operations + Product</w:t>
            </w:r>
          </w:p>
        </w:tc>
        <w:tc>
          <w:tcPr>
            <w:tcW w:type="dxa" w:w="3360"/>
          </w:tcPr>
          <w:p>
            <w:r>
              <w:t>Separately staffed</w:t>
            </w:r>
          </w:p>
        </w:tc>
      </w:tr>
      <w:tr>
        <w:tc>
          <w:tcPr>
            <w:tcW w:type="dxa" w:w="3360"/>
          </w:tcPr>
          <w:p>
            <w:r>
              <w:t>Controlled live experiment</w:t>
            </w:r>
          </w:p>
        </w:tc>
        <w:tc>
          <w:tcPr>
            <w:tcW w:type="dxa" w:w="3360"/>
          </w:tcPr>
          <w:p>
            <w:r>
              <w:t>Production team + Risk/Compliance</w:t>
            </w:r>
          </w:p>
        </w:tc>
        <w:tc>
          <w:tcPr>
            <w:tcW w:type="dxa" w:w="3360"/>
          </w:tcPr>
          <w:p>
            <w:r>
              <w:t>After readiness gate</w:t>
            </w:r>
          </w:p>
        </w:tc>
      </w:tr>
      <w:tr>
        <w:tc>
          <w:tcPr>
            <w:tcW w:type="dxa" w:w="3360"/>
          </w:tcPr>
          <w:p>
            <w:r>
              <w:t>Scale</w:t>
            </w:r>
          </w:p>
        </w:tc>
        <w:tc>
          <w:tcPr>
            <w:tcW w:type="dxa" w:w="3360"/>
          </w:tcPr>
          <w:p>
            <w:r>
              <w:t>Expanded platform/security/compliance capacity</w:t>
            </w:r>
          </w:p>
        </w:tc>
        <w:tc>
          <w:tcPr>
            <w:tcW w:type="dxa" w:w="3360"/>
          </w:tcPr>
          <w:p>
            <w:r>
              <w:t>Later</w:t>
            </w:r>
          </w:p>
        </w:tc>
      </w:tr>
    </w:tbl>
    <w:p>
      <w:r>
        <w:t>If production resources are unavailable, the system remains sandbox-only. The MVP enters a review/continue/archive lifecycle rather than bypassing production governance.</w:t>
      </w:r>
    </w:p>
    <w:p>
      <w:pPr>
        <w:pStyle w:val="Heading1"/>
      </w:pPr>
      <w:r>
        <w:t>20. MVP Lifecycle</w:t>
      </w:r>
    </w:p>
    <w:p>
      <w:pPr>
        <w:ind w:left="360"/>
      </w:pPr>
      <w:r>
        <w:rPr>
          <w:rFonts w:ascii="Consolas" w:hAnsi="Consolas"/>
          <w:sz w:val="17"/>
        </w:rPr>
        <w:t>BUILD → VALIDATE → DEMO → MVP REVIEW → CONTINUE / ARCHIVE / PRODUCTIONIZE</w:t>
      </w:r>
    </w:p>
    <w:p>
      <w:pPr>
        <w:pStyle w:val="ListBullet"/>
      </w:pPr>
      <w:r>
        <w:t>MVPs have an owner, creation date, review date, and current status.</w:t>
      </w:r>
    </w:p>
    <w:p>
      <w:pPr>
        <w:pStyle w:val="ListBullet"/>
      </w:pPr>
      <w:r>
        <w:t>Archived MVPs are frozen: no new customer data, model deployment, production credentials, or autonomous jobs.</w:t>
      </w:r>
    </w:p>
    <w:p>
      <w:pPr>
        <w:pStyle w:val="ListBullet"/>
      </w:pPr>
      <w:r>
        <w:t>Productionization cannot occur through a side repository, pilot account, or manually configured production integration.</w:t>
      </w:r>
    </w:p>
    <w:p>
      <w:pPr>
        <w:pStyle w:val="Heading1"/>
      </w:pPr>
      <w:r>
        <w:t>21. Production Readiness and Re-Certification</w:t>
      </w:r>
    </w:p>
    <w:p>
      <w:r>
        <w:t>READY is not permanent.</w:t>
      </w:r>
    </w:p>
    <w:p>
      <w:pPr>
        <w:ind w:left="360"/>
      </w:pPr>
      <w:r>
        <w:rPr>
          <w:rFonts w:ascii="Consolas" w:hAnsi="Consolas"/>
          <w:sz w:val="17"/>
        </w:rPr>
        <w:t>READY → material change / incident / cumulative drift / expiry → REVALIDATION</w:t>
      </w:r>
    </w:p>
    <w:p>
      <w:pPr>
        <w:pStyle w:val="ListBullet"/>
      </w:pPr>
      <w:r>
        <w:t>Triggered re-certification for major model, scheduler, arbitrator, payment-provider, jurisdiction, authorization, security, or policy-architecture changes.</w:t>
      </w:r>
    </w:p>
    <w:p>
      <w:pPr>
        <w:pStyle w:val="ListBullet"/>
      </w:pPr>
      <w:r>
        <w:t>Periodic whole-system re-certification against the current deployed state.</w:t>
      </w:r>
    </w:p>
    <w:p>
      <w:pPr>
        <w:pStyle w:val="ListBullet"/>
      </w:pPr>
      <w:r>
        <w:t>Track changes in a System Change Ledger to detect cumulative drift.</w:t>
      </w:r>
    </w:p>
    <w:p>
      <w:pPr>
        <w:pStyle w:val="ListBullet"/>
      </w:pPr>
      <w:r>
        <w:t>Re-run the important production readiness gates against the system as it exists today.</w:t>
      </w:r>
    </w:p>
    <w:p>
      <w:pPr>
        <w:pStyle w:val="Heading1"/>
      </w:pPr>
      <w:r>
        <w:t>22. Production Readiness Gate</w:t>
      </w:r>
    </w:p>
    <w:p>
      <w:pPr>
        <w:ind w:left="360"/>
      </w:pPr>
      <w:r>
        <w:rPr>
          <w:rFonts w:ascii="Consolas" w:hAnsi="Consolas"/>
          <w:sz w:val="17"/>
        </w:rPr>
        <w:t>PROD-S1 Policy</w:t>
        <w:br/>
        <w:t>PROD-S2 Compliance Scheduler</w:t>
        <w:br/>
        <w:t>PROD-S3 Control-Plane Arbitrator</w:t>
        <w:br/>
        <w:t>PROD-S4 Safety</w:t>
        <w:br/>
        <w:t>PROD-S5 Incident / Correction</w:t>
        <w:br/>
        <w:t>PROD-S6 Capacity</w:t>
        <w:br/>
        <w:t>PROD-S7 Independent P0 Review</w:t>
        <w:br/>
        <w:t>PROD-S8 Fairness</w:t>
        <w:br/>
        <w:t xml:space="preserve">        ↓</w:t>
        <w:br/>
        <w:t>Final multi-party review</w:t>
        <w:br/>
        <w:t xml:space="preserve">        ↓</w:t>
        <w:br/>
        <w:t>READY / NOT READY</w:t>
      </w:r>
    </w:p>
    <w:p>
      <w:pPr>
        <w:pStyle w:val="ListBullet"/>
      </w:pPr>
      <w:r>
        <w:t>Each gate requires an artifact, quality threshold, safety threshold where applicable, owner, test evidence, and approval.</w:t>
      </w:r>
    </w:p>
    <w:p>
      <w:pPr>
        <w:pStyle w:val="ListBullet"/>
      </w:pPr>
      <w:r>
        <w:t>Security has veto authority over unresolved critical security risk.</w:t>
      </w:r>
    </w:p>
    <w:p>
      <w:pPr>
        <w:pStyle w:val="ListBullet"/>
      </w:pPr>
      <w:r>
        <w:t>Risk/Compliance has veto authority over unresolved critical regulatory/compliance risk.</w:t>
      </w:r>
    </w:p>
    <w:p>
      <w:pPr>
        <w:pStyle w:val="ListBullet"/>
      </w:pPr>
      <w:r>
        <w:t>Business/Product cannot override a legal prohibition through majority vote.</w:t>
      </w:r>
    </w:p>
    <w:p>
      <w:pPr>
        <w:pStyle w:val="ListBullet"/>
      </w:pPr>
      <w:r>
        <w:t>Residual-risk acceptance is documented separately from a READY decision.</w:t>
      </w:r>
    </w:p>
    <w:p>
      <w:pPr>
        <w:pStyle w:val="Heading1"/>
      </w:pPr>
      <w:r>
        <w:t>23. Final Seven-Stage Roadmap</w:t>
      </w:r>
    </w:p>
    <w:p>
      <w:r>
        <w:rPr>
          <w:b/>
        </w:rPr>
        <w:t xml:space="preserve">Stage 1: Product Proof  </w:t>
      </w:r>
      <w:r>
        <w:t>Prove the end-to-end recovery workflow in sandbox.</w:t>
      </w:r>
    </w:p>
    <w:p>
      <w:r>
        <w:rPr>
          <w:b/>
        </w:rPr>
        <w:t xml:space="preserve">Stage 2: Model Proof  </w:t>
      </w:r>
      <w:r>
        <w:t>Validate accuracy, calibration, robustness, and security.</w:t>
      </w:r>
    </w:p>
    <w:p>
      <w:r>
        <w:rPr>
          <w:b/>
        </w:rPr>
        <w:t xml:space="preserve">Stage 3: Governance Readiness  </w:t>
      </w:r>
      <w:r>
        <w:t>Certify production policy, scheduler, arbitrator, safety, incident, capacity, and review controls.</w:t>
      </w:r>
    </w:p>
    <w:p>
      <w:r>
        <w:rPr>
          <w:b/>
        </w:rPr>
        <w:t xml:space="preserve">Stage 4: Experiment Readiness  </w:t>
      </w:r>
      <w:r>
        <w:t>Establish frozen eligibility, stratification, control, evidence, and contamination handling.</w:t>
      </w:r>
    </w:p>
    <w:p>
      <w:r>
        <w:rPr>
          <w:b/>
        </w:rPr>
        <w:t xml:space="preserve">Stage 5: Compliance-Ready Experiment  </w:t>
      </w:r>
      <w:r>
        <w:t>Run a controlled real-customer experiment within approved boundaries.</w:t>
      </w:r>
    </w:p>
    <w:p>
      <w:r>
        <w:rPr>
          <w:b/>
        </w:rPr>
        <w:t xml:space="preserve">Stage 6: Autonomous Production  </w:t>
      </w:r>
      <w:r>
        <w:t>Enable bounded autonomy only for approved low-risk action classes.</w:t>
      </w:r>
    </w:p>
    <w:p>
      <w:r>
        <w:rPr>
          <w:b/>
        </w:rPr>
        <w:t xml:space="preserve">Stage 7: Scale  </w:t>
      </w:r>
      <w:r>
        <w:t>Expand jurisdictions, tenants, currencies, playbooks, residency, and operational capacity.</w:t>
      </w:r>
    </w:p>
    <w:p>
      <w:pPr>
        <w:pStyle w:val="Heading1"/>
      </w:pPr>
      <w:r>
        <w:t>24. Stage Gate Standard</w:t>
      </w:r>
    </w:p>
    <w:p>
      <w:r>
        <w:t>Every stage gate must contain:</w:t>
      </w:r>
    </w:p>
    <w:p>
      <w:pPr>
        <w:pStyle w:val="ListBullet"/>
      </w:pPr>
      <w:r>
        <w:t>Artifact</w:t>
      </w:r>
    </w:p>
    <w:p>
      <w:pPr>
        <w:pStyle w:val="ListBullet"/>
      </w:pPr>
      <w:r>
        <w:t>Quality threshold</w:t>
      </w:r>
    </w:p>
    <w:p>
      <w:pPr>
        <w:pStyle w:val="ListBullet"/>
      </w:pPr>
      <w:r>
        <w:t>Safety threshold</w:t>
      </w:r>
    </w:p>
    <w:p>
      <w:pPr>
        <w:pStyle w:val="ListBullet"/>
      </w:pPr>
      <w:r>
        <w:t>Measurement method</w:t>
      </w:r>
    </w:p>
    <w:p>
      <w:pPr>
        <w:pStyle w:val="ListBullet"/>
      </w:pPr>
      <w:r>
        <w:t>Named owner</w:t>
      </w:r>
    </w:p>
    <w:p>
      <w:pPr>
        <w:pStyle w:val="ListBullet"/>
      </w:pPr>
      <w:r>
        <w:t>Independent approval where required</w:t>
      </w:r>
    </w:p>
    <w:p>
      <w:pPr>
        <w:pStyle w:val="ListBullet"/>
      </w:pPr>
      <w:r>
        <w:t>Recorded test evidence</w:t>
      </w:r>
    </w:p>
    <w:p>
      <w:r>
        <w:t>A checkmark that only proves that a test was run is not sufficient.</w:t>
      </w:r>
    </w:p>
    <w:p>
      <w:pPr>
        <w:pStyle w:val="Heading1"/>
      </w:pPr>
      <w:r>
        <w:t>25. Final Implementation Dependency Graph</w:t>
      </w:r>
    </w:p>
    <w:p>
      <w:pPr>
        <w:ind w:left="360"/>
      </w:pPr>
      <w:r>
        <w:rPr>
          <w:rFonts w:ascii="Consolas" w:hAnsi="Consolas"/>
          <w:sz w:val="17"/>
        </w:rPr>
        <w:t>FOUNDATION</w:t>
        <w:br/>
        <w:t xml:space="preserve">  ├─ Data contracts</w:t>
        <w:br/>
        <w:t xml:space="preserve">  ├─ Audit</w:t>
        <w:br/>
        <w:t xml:space="preserve">  ├─ Synthetic generator</w:t>
        <w:br/>
        <w:t xml:space="preserve">  └─ Sandbox</w:t>
        <w:br/>
        <w:t xml:space="preserve">        ↓</w:t>
        <w:br/>
        <w:t>RECOVERY ENGINE</w:t>
        <w:br/>
        <w:t xml:space="preserve">  ├─ Case management</w:t>
        <w:br/>
        <w:t xml:space="preserve">  ├─ Risk</w:t>
        <w:br/>
        <w:t xml:space="preserve">  └─ Diagnosis</w:t>
        <w:br/>
        <w:t xml:space="preserve">        ↓</w:t>
        <w:br/>
        <w:t>AI DECISION</w:t>
        <w:br/>
        <w:t xml:space="preserve">  ├─ Model</w:t>
        <w:br/>
        <w:t xml:space="preserve">  ├─ Prompt</w:t>
        <w:br/>
        <w:t xml:space="preserve">  └─ Decision Artifact</w:t>
        <w:br/>
        <w:t xml:space="preserve">        ↓</w:t>
        <w:br/>
        <w:t>DECISION GOVERNANCE</w:t>
        <w:br/>
        <w:t xml:space="preserve">  ├─ Policy</w:t>
        <w:br/>
        <w:t xml:space="preserve">  ├─ Compliance Scheduler</w:t>
        <w:br/>
        <w:t xml:space="preserve">  └─ Control-Plane Arbitrator</w:t>
        <w:br/>
        <w:t xml:space="preserve">        ↓</w:t>
        <w:br/>
        <w:t>EXECUTION SAFETY</w:t>
        <w:br/>
        <w:t xml:space="preserve">  ├─ Authorization</w:t>
        <w:br/>
        <w:t xml:space="preserve">  ├─ Kill switch</w:t>
        <w:br/>
        <w:t xml:space="preserve">  ├─ Circuit breaker</w:t>
        <w:br/>
        <w:t xml:space="preserve">  ├─ Human approval</w:t>
        <w:br/>
        <w:t xml:space="preserve">  └─ Capacity</w:t>
        <w:br/>
        <w:t xml:space="preserve">        ↓</w:t>
        <w:br/>
        <w:t>EXECUTION</w:t>
        <w:br/>
        <w:t xml:space="preserve">        ↓</w:t>
        <w:br/>
        <w:t>OUTCOME / RECONCILIATION</w:t>
        <w:br/>
        <w:t xml:space="preserve">  ├─ Settlement</w:t>
        <w:br/>
        <w:t xml:space="preserve">  ├─ Dispute</w:t>
        <w:br/>
        <w:t xml:space="preserve">  ├─ Partial payment</w:t>
        <w:br/>
        <w:t xml:space="preserve">  └─ Revenue ledger</w:t>
        <w:br/>
        <w:t xml:space="preserve">        ↓</w:t>
        <w:br/>
        <w:t>EXPERIMENT / EVIDENCE</w:t>
      </w:r>
    </w:p>
    <w:p>
      <w:pPr>
        <w:pStyle w:val="Heading1"/>
      </w:pPr>
      <w:r>
        <w:t>26. Final Non-Negotiable Rules</w:t>
      </w:r>
    </w:p>
    <w:p>
      <w:pPr>
        <w:pStyle w:val="ListNumber"/>
      </w:pPr>
      <w:r>
        <w:t>AI recommends; it does not execute.</w:t>
      </w:r>
    </w:p>
    <w:p>
      <w:pPr>
        <w:pStyle w:val="ListNumber"/>
      </w:pPr>
      <w:r>
        <w:t>No service receives authority it does not need.</w:t>
      </w:r>
    </w:p>
    <w:p>
      <w:pPr>
        <w:pStyle w:val="ListNumber"/>
      </w:pPr>
      <w:r>
        <w:t>The Executor acts only on valid bounded authorization.</w:t>
      </w:r>
    </w:p>
    <w:p>
      <w:pPr>
        <w:pStyle w:val="ListNumber"/>
      </w:pPr>
      <w:r>
        <w:t>MVP environments cannot reach production payment or messaging systems.</w:t>
      </w:r>
    </w:p>
    <w:p>
      <w:pPr>
        <w:pStyle w:val="ListNumber"/>
      </w:pPr>
      <w:r>
        <w:t>Mandatory obligations cannot be silently discarded.</w:t>
      </w:r>
    </w:p>
    <w:p>
      <w:pPr>
        <w:pStyle w:val="ListNumber"/>
      </w:pPr>
      <w:r>
        <w:t>Safety freezes cannot be bypassed through retries.</w:t>
      </w:r>
    </w:p>
    <w:p>
      <w:pPr>
        <w:pStyle w:val="ListNumber"/>
      </w:pPr>
      <w:r>
        <w:t>Incident-generated compliance obligations use the same authoritative scheduler.</w:t>
      </w:r>
    </w:p>
    <w:p>
      <w:pPr>
        <w:pStyle w:val="ListNumber"/>
      </w:pPr>
      <w:r>
        <w:t>Recovered revenue is not automatically confirmed revenue.</w:t>
      </w:r>
    </w:p>
    <w:p>
      <w:pPr>
        <w:pStyle w:val="ListNumber"/>
      </w:pPr>
      <w:r>
        <w:t>Backtesting cannot be presented as causal lift.</w:t>
      </w:r>
    </w:p>
    <w:p>
      <w:pPr>
        <w:pStyle w:val="ListNumber"/>
      </w:pPr>
      <w:r>
        <w:t>Headline metrics cannot silently disappear.</w:t>
      </w:r>
    </w:p>
    <w:p>
      <w:pPr>
        <w:pStyle w:val="ListNumber"/>
      </w:pPr>
      <w:r>
        <w:t>Architecture invariants must map to implementation controls and tests.</w:t>
      </w:r>
    </w:p>
    <w:p>
      <w:pPr>
        <w:pStyle w:val="ListNumber"/>
      </w:pPr>
      <w:r>
        <w:t>Production READY expires and can be revoked.</w:t>
      </w:r>
    </w:p>
    <w:p>
      <w:pPr>
        <w:pStyle w:val="ListNumber"/>
      </w:pPr>
      <w:r>
        <w:t>No pilot, script, repository, credential, or integration may bypass the production-readiness boundary.</w:t>
      </w:r>
    </w:p>
    <w:p>
      <w:pPr>
        <w:pStyle w:val="Heading1"/>
      </w:pPr>
      <w:r>
        <w:t>27. Frozen Architecture Statement</w:t>
      </w:r>
    </w:p>
    <w:p>
      <w:r>
        <w:t>Version 11 is the frozen architecture baseline for AI Revenue Recovery. Future reviews should not expand the architecture merely because a theoretical edge case exists. A proposed change should be accepted into the architecture only when it identifies a violation of a frozen invariant, a material production risk, a measurement-validity problem, or a missing implementation dependency.</w:t>
      </w:r>
    </w:p>
    <w:p>
      <w:r>
        <w:t>The next artifact is the Implementation Specification: service decomposition, database schema, event contracts, API contracts, state machines, IAM/network controls, exact MVP test matrix, repository structure, deployment topology, engineering tickets, and Definition of Done. That specification must pass the Architecture Conformance Matrix before implementation tickets are considered ready.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Revenue Recovery • Implementation Plan v11 • Frozen Architecture Baseline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