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21729"/>
          <w:sz w:val="80"/>
        </w:rPr>
        <w:t>SIFGuard-OIL</w:t>
      </w:r>
    </w:p>
    <w:p>
      <w:pPr>
        <w:jc w:val="center"/>
      </w:pPr>
      <w:r>
        <w:rPr>
          <w:b/>
          <w:color w:val="B87B14"/>
          <w:sz w:val="36"/>
        </w:rPr>
        <w:t>Complete Feature Documentation</w:t>
      </w:r>
    </w:p>
    <w:p>
      <w:pPr>
        <w:spacing w:before="200"/>
        <w:jc w:val="center"/>
      </w:pPr>
      <w:r>
        <w:rPr>
          <w:color w:val="57607A"/>
          <w:sz w:val="23"/>
        </w:rPr>
        <w:t>SIH26165 · OIL SIF Precursor Intelligence · Oil India Limited</w:t>
      </w:r>
    </w:p>
    <w:p>
      <w:pPr>
        <w:spacing w:before="1200"/>
        <w:ind w:left="1152" w:right="1152"/>
        <w:jc w:val="center"/>
      </w:pPr>
      <w:r>
        <w:rPr>
          <w:i/>
          <w:color w:val="57607A"/>
          <w:sz w:val="21"/>
        </w:rPr>
        <w:t>This document lists every feature currently implemented in the SIFGuard-OIL prototype: what it does, how it works, and why it exists. It reflects the actual working system, not a proposal — every feature described here is running code, covered by tests where applicable.</w:t>
      </w:r>
    </w:p>
    <w:p>
      <w:r>
        <w:br w:type="page"/>
      </w:r>
    </w:p>
    <w:p>
      <w:pPr>
        <w:pStyle w:val="Heading1"/>
      </w:pPr>
      <w:r>
        <w:t>What This Product Does</w:t>
      </w:r>
    </w:p>
    <w:p>
      <w:r>
        <w:t>SIFGuard-OIL reads free-text safety reports — Unsafe-Act / Unsafe-Condition observations, near-misses and incidents — and turns them into structured, evidence-backed intelligence about which reports carry genuine potential for a Serious Injury or Fatality (SIF), even when the actual outcome was “no injury.” For every report it explains WHY it was flagged, which of IOGP's 9 Life-Saving Rules applies, which safety barrier failed, and whether this is part of a recurring pattern — so an HSE team can prioritize real risk instead of reading every report with equal attention.</w:t>
      </w:r>
    </w:p>
    <w:p>
      <w:r>
        <w:t>The system is built as a hybrid: deterministic rule logic (always explainable, always available), a trained machine-learning classifier (generalizes to new phrasing), and an optional, tightly-bounded AI language model (only ever polishes wording, never decides anything). It is explicitly allowed to say “I'm not sure” and route a report to a human, rather than force a confident answer it cannot support — the whole product is organized around that principle.</w:t>
      </w:r>
    </w:p>
    <w:p>
      <w:r>
        <w:t>The features below are grouped into four parts: the AI/NLP intelligence pipeline that analyzes each report; the human-oversight and governance layer that keeps a person in control of consequential decisions; the dashboard and pages an HSE user actually interacts with; and the data/design/trust foundations underneath all of it.</w:t>
      </w:r>
    </w:p>
    <w:p>
      <w:r>
        <w:br w:type="page"/>
      </w:r>
    </w:p>
    <w:p>
      <w:pPr>
        <w:pStyle w:val="Heading1"/>
      </w:pPr>
      <w:r>
        <w:t>PART A — AI / NLP Intelligence Pipeline</w:t>
      </w:r>
    </w:p>
    <w:p>
      <w:r>
        <w:rPr>
          <w:i/>
          <w:color w:val="57607A"/>
        </w:rPr>
        <w:t>The engine: what happens, in order, when a report is analyzed.</w:t>
      </w:r>
    </w:p>
    <w:p>
      <w:pPr>
        <w:pBdr>
          <w:bottom w:val="single" w:sz="6" w:space="1" w:color="E3E6F0"/>
        </w:pBdr>
        <w:spacing w:after="200"/>
      </w:pPr>
    </w:p>
    <w:p>
      <w:pPr>
        <w:pStyle w:val="Heading2"/>
      </w:pPr>
      <w:r>
        <w:t>A1. Report Ingestion — Single Form &amp; CSV Batch Upload</w:t>
      </w:r>
    </w:p>
    <w:p>
      <w:r>
        <w:rPr>
          <w:b/>
        </w:rPr>
        <w:t xml:space="preserve">How it works: </w:t>
      </w:r>
      <w:r>
        <w:t>A report can be entered one at a time through a form, or many at once via a CSV file. Every row is checked for a required narrative field, checked for duplicates (against both the file itself and the existing database), and given a unique report code (e.g. OIL-10482). Every accepted report is immediately sent through the full analysis pipeline described below.</w:t>
      </w:r>
    </w:p>
    <w:p>
      <w:r>
        <w:rPr>
          <w:b/>
          <w:color w:val="B87B14"/>
        </w:rPr>
        <w:t xml:space="preserve">Why it's needed: </w:t>
      </w:r>
      <w:r>
        <w:t>HSE teams don't file one report at a time — they need to bulk-load historical or shift-log data, and they need to trust that duplicates and malformed rows won't silently corrupt the dataset or double-count risk.</w:t>
      </w:r>
    </w:p>
    <w:p>
      <w:pPr>
        <w:pStyle w:val="Heading2"/>
      </w:pPr>
      <w:r>
        <w:t>A2. Text Preprocessing &amp; Data Validation</w:t>
      </w:r>
    </w:p>
    <w:p>
      <w:r>
        <w:rPr>
          <w:b/>
        </w:rPr>
        <w:t xml:space="preserve">How it works: </w:t>
      </w:r>
      <w:r>
        <w:t>Before analysis, the narrative is split into sentences and clauses, tokenized, and normalized (lowercased while preserving named entities, hyphens treated the same as spaces so “confined-space” and “confined space” are recognized identically). This runs on plain Python/regex logic — no heavy external model needs to be downloaded.</w:t>
      </w:r>
    </w:p>
    <w:p>
      <w:r>
        <w:rPr>
          <w:b/>
          <w:color w:val="B87B14"/>
        </w:rPr>
        <w:t xml:space="preserve">Why it's needed: </w:t>
      </w:r>
      <w:r>
        <w:t>Every later stage (entity extraction, LSR mapping, barrier detection) depends on clean, consistently-shaped text. Doing this once, well, up front avoids each downstream module re-implementing its own fragile text cleanup, and keeps the whole pipeline runnable offline in seconds.</w:t>
      </w:r>
    </w:p>
    <w:p>
      <w:pPr>
        <w:pStyle w:val="Heading2"/>
      </w:pPr>
      <w:r>
        <w:t>A3. Safety Terminology Normalization (Lexicon)</w:t>
      </w:r>
    </w:p>
    <w:p>
      <w:r>
        <w:rPr>
          <w:b/>
        </w:rPr>
        <w:t xml:space="preserve">How it works: </w:t>
      </w:r>
      <w:r>
        <w:t>A curated dictionary maps site jargon and abbreviations (LOTO, PTW, SIMOPS, and 12 other safety concepts) onto canonical tags, recognizing multiple real-world phrasings of the same idea (“lockout tagout”, “lockout/tagout”, “LOTO” all map to the same concept).</w:t>
      </w:r>
    </w:p>
    <w:p>
      <w:r>
        <w:rPr>
          <w:b/>
          <w:color w:val="B87B14"/>
        </w:rPr>
        <w:t xml:space="preserve">Why it's needed: </w:t>
      </w:r>
      <w:r>
        <w:t>Field reports are written by different people in different styles. Without this normalization step, the system would need to separately teach every other module every possible way of writing the same safety term — this lexicon is the single place that knowledge lives.</w:t>
      </w:r>
    </w:p>
    <w:p>
      <w:pPr>
        <w:pStyle w:val="Heading2"/>
      </w:pPr>
      <w:r>
        <w:t>A4. Hazard / Energy / Exposure Entity Extraction</w:t>
      </w:r>
    </w:p>
    <w:p>
      <w:r>
        <w:rPr>
          <w:b/>
        </w:rPr>
        <w:t xml:space="preserve">How it works: </w:t>
      </w:r>
      <w:r>
        <w:t>The narrative is scanned for six categories of high-energy hazard (pressure, electrical, gravity/fall, mechanical, chemical, motion) and for how close a worker was to that hazard (high / medium / low / none proximity). It deliberately does NOT trigger on a bare, out-of-context word — e.g. “height” alone (as in “the gauge reads a height of 15”) will not be treated as a fall hazard.</w:t>
      </w:r>
    </w:p>
    <w:p>
      <w:r>
        <w:rPr>
          <w:b/>
          <w:color w:val="B87B14"/>
        </w:rPr>
        <w:t xml:space="preserve">Why it's needed: </w:t>
      </w:r>
      <w:r>
        <w:t>This is the foundation the rest of the system reasons over: hazard type and worker exposure are exactly the two things that determine whether a situation could have been fatal, independent of whether anyone was actually hurt. Guarding against bare-keyword false positives is what separates this from a naive keyword matcher, which the project deliberately rejects as too unreliable for a safety-critical tool.</w:t>
      </w:r>
    </w:p>
    <w:p>
      <w:pPr>
        <w:pStyle w:val="Heading2"/>
      </w:pPr>
      <w:r>
        <w:t>A5. IOGP Life-Saving Rule (LSR) Mapping</w:t>
      </w:r>
    </w:p>
    <w:p>
      <w:r>
        <w:rPr>
          <w:b/>
        </w:rPr>
        <w:t xml:space="preserve">How it works: </w:t>
      </w:r>
      <w:r>
        <w:t>Each report is scored against a knowledge base of IOGP's 9 official Life-Saving Rules (Energy Isolation, Confined Space, Line of Fire, Hot Work, Working at Height, Safe Mechanical Lifting, Driving, Work Authorization, Bypassing Safety Controls), using both keyword-in-context matching and the safety lexicon (A3). If no rule scores highly enough, the system honestly returns “No applicable rule” rather than forcing a match — matching IOGP's own taxonomy.</w:t>
      </w:r>
    </w:p>
    <w:p>
      <w:r>
        <w:rPr>
          <w:b/>
          <w:color w:val="B87B14"/>
        </w:rPr>
        <w:t xml:space="preserve">Why it's needed: </w:t>
      </w:r>
      <w:r>
        <w:t>OIL's HSE program is already organized around these 9 rules; mapping every report to the correct one (with the supporting evidence shown) is literally what the problem statement asks for, and lets HSE target training and interventions at the specific rule being violated most often.</w:t>
      </w:r>
    </w:p>
    <w:p>
      <w:pPr>
        <w:pStyle w:val="Heading2"/>
      </w:pPr>
      <w:r>
        <w:t>A6. Negation-Aware Barrier Failure Detection</w:t>
      </w:r>
    </w:p>
    <w:p>
      <w:r>
        <w:rPr>
          <w:b/>
        </w:rPr>
        <w:t xml:space="preserve">How it works: </w:t>
      </w:r>
      <w:r>
        <w:t>For each of 10 tracked safety barriers (Isolation/LOTO, Permit-to-Work, Guarding, PPE, Fall Protection, Gas Detection, Exclusion Zone, Communication/Handover, Pressure Relief, Supervision), the engine determines whether it was Present &amp; Effective, Missing, Failed, Bypassed, or Not Verified. Sentences are split into clauses on words like “but” so that “the checklist was not complete, BUT LOTO was correctly applied” is read correctly as two separate, correctly-scored facts. When no clear signal exists, it defaults to “Not Verified” rather than guessing.</w:t>
      </w:r>
    </w:p>
    <w:p>
      <w:r>
        <w:rPr>
          <w:b/>
          <w:color w:val="B87B14"/>
        </w:rPr>
        <w:t xml:space="preserve">Why it's needed: </w:t>
      </w:r>
      <w:r>
        <w:t>This is the single most important differentiator called out in the project's own research: “LOTO applied” and “LOTO NOT applied” contain the same keyword, so a simpler system cannot tell them apart. Knowing *which specific barrier* failed is what turns a risk score into something an HSE engineer can actually act on (e.g. “retrain on isolation verification at Site B”), rather than a vague number.</w:t>
      </w:r>
    </w:p>
    <w:p>
      <w:pPr>
        <w:pStyle w:val="Heading2"/>
      </w:pPr>
      <w:r>
        <w:t>A7. Hybrid SIF Classification Engine</w:t>
      </w:r>
    </w:p>
    <w:p>
      <w:r>
        <w:rPr>
          <w:b/>
        </w:rPr>
        <w:t xml:space="preserve">How it works: </w:t>
      </w:r>
      <w:r>
        <w:t>Every report gets one of five outcomes — HIGH, MEDIUM, LOW, NON-SIF, or REVIEW — never a plain yes/no. This comes from fusing two independent signals: a deterministic rule engine (always available, fully auditable) and a machine-learning classifier trained on the labelled dataset (better at recognizing phrasing it has seen examples of). The rule engine is the primary, safety-baseline signal; the ML layer acts as a confidence modifier, not an equal-vote partner.</w:t>
      </w:r>
    </w:p>
    <w:p>
      <w:r>
        <w:rPr>
          <w:b/>
          <w:color w:val="B87B14"/>
        </w:rPr>
        <w:t xml:space="preserve">Why it's needed: </w:t>
      </w:r>
      <w:r>
        <w:t>A rules-only system is explainable but brittle to new phrasing; a machine-learning-only system generalizes better but can't be fully explained or trusted to run with zero training data. Combining them, with the auditable rule engine in the driver's seat, gets the benefits of both without either one's single point of failure — and the system keeps working even if the ML model or an external AI service is unavailable.</w:t>
      </w:r>
    </w:p>
    <w:p>
      <w:pPr>
        <w:pStyle w:val="Heading2"/>
      </w:pPr>
      <w:r>
        <w:t>A8. Transparent 0-100 Risk Score</w:t>
      </w:r>
    </w:p>
    <w:p>
      <w:r>
        <w:rPr>
          <w:b/>
        </w:rPr>
        <w:t xml:space="preserve">How it works: </w:t>
      </w:r>
      <w:r>
        <w:t>A single risk score is computed from five weighted, visible components: hazard/energy severity (30%), worker exposure (25%), barrier failure (25%), how critical the activity type historically is (10%), and whether this is a repeat precursor pattern (10%). Every report's score shows this breakdown, not just the final number, and is explicitly labelled a prototype formula rather than an official OIL/IOGP standard.</w:t>
      </w:r>
    </w:p>
    <w:p>
      <w:r>
        <w:rPr>
          <w:b/>
          <w:color w:val="B87B14"/>
        </w:rPr>
        <w:t xml:space="preserve">Why it's needed: </w:t>
      </w:r>
      <w:r>
        <w:t>A single opaque number (“risk: 82”) can't be defended in a safety review. Showing the exact weighted components lets an HSE analyst see and challenge exactly why a report scored the way it did, and lets the weights themselves be tuned openly later rather than hidden inside an unexplainable model.</w:t>
      </w:r>
    </w:p>
    <w:p>
      <w:pPr>
        <w:pStyle w:val="Heading2"/>
      </w:pPr>
      <w:r>
        <w:t>A9. Abstention Policy (Confidence-Banded Trust Layer)</w:t>
      </w:r>
    </w:p>
    <w:p>
      <w:r>
        <w:rPr>
          <w:b/>
        </w:rPr>
        <w:t xml:space="preserve">How it works: </w:t>
      </w:r>
      <w:r>
        <w:t>When the rule engine and the ML classifier sharply disagree, or when overall evidence is weak, the system does not force a classification — it returns REVIEW with an explicit reason (“conflicting signals” or “insufficient evidence”) and routes the report to a human. Roughly 15-20% of the demo dataset lands here by design, not as a failure mode.</w:t>
      </w:r>
    </w:p>
    <w:p>
      <w:r>
        <w:rPr>
          <w:b/>
          <w:color w:val="B87B14"/>
        </w:rPr>
        <w:t xml:space="preserve">Why it's needed: </w:t>
      </w:r>
      <w:r>
        <w:t>In a safety-critical tool, a confidently wrong answer is more dangerous than an honest “I don't know.” This is the project's core trust-layer principle: it should read as a deliberate design strength (and is demonstrated live in the product demo), not a gap to be embarrassed about.</w:t>
      </w:r>
    </w:p>
    <w:p>
      <w:pPr>
        <w:pStyle w:val="Heading2"/>
      </w:pPr>
      <w:r>
        <w:t>A10. Evidence-Based Explanation (“Why Flagged?”) with Optional AI Polish</w:t>
      </w:r>
    </w:p>
    <w:p>
      <w:r>
        <w:rPr>
          <w:b/>
        </w:rPr>
        <w:t xml:space="preserve">How it works: </w:t>
      </w:r>
      <w:r>
        <w:t>A plain-language explanation is built directly from the already-extracted fields (hazard, exposure, barrier status, LSR) using fixed templates — never invented by an AI model. If an AI language-model key is configured, that same explanation can optionally be reworded for smoother prose, but only ever rephrasing facts that were already computed, never adding new ones. If no AI key is configured, or the request fails, the system silently and safely falls back to the template — the app never breaks because an external service is unavailable.</w:t>
      </w:r>
    </w:p>
    <w:p>
      <w:r>
        <w:rPr>
          <w:b/>
          <w:color w:val="B87B14"/>
        </w:rPr>
        <w:t xml:space="preserve">Why it's needed: </w:t>
      </w:r>
      <w:r>
        <w:t>“Why was this flagged?” is the single most important thing an HSE analyst needs answered on-screen, and it has to be trustworthy — not a black-box model's free-form guess. Keeping the AI model bounded to rephrasing already-verified facts gets natural-sounding language without letting an AI invent an unsupported safety claim.</w:t>
      </w:r>
    </w:p>
    <w:p>
      <w:pPr>
        <w:pStyle w:val="Heading2"/>
      </w:pPr>
      <w:r>
        <w:t>A11. LLM Output Validation Guardrail</w:t>
      </w:r>
    </w:p>
    <w:p>
      <w:r>
        <w:rPr>
          <w:b/>
        </w:rPr>
        <w:t xml:space="preserve">How it works: </w:t>
      </w:r>
      <w:r>
        <w:t>Whenever the optional AI-polished explanation is used, its text is checked against the full list of known hazard labels, barrier types, and Life-Saving Rule names computed elsewhere in the system. If the AI-rewritten text mentions a hazard, barrier, or rule that was NOT part of this specific report's own extracted evidence, the polished version is rejected and the system falls back to the safe, verified template instead.</w:t>
      </w:r>
    </w:p>
    <w:p>
      <w:r>
        <w:rPr>
          <w:b/>
          <w:color w:val="B87B14"/>
        </w:rPr>
        <w:t xml:space="preserve">Why it's needed: </w:t>
      </w:r>
      <w:r>
        <w:t>An AI language model can occasionally “hallucinate” — state something confidently that isn't true. This guardrail is a concrete, tested safeguard (not just a prompt instruction asking the model to behave) against the AI quietly introducing an unsupported safety claim into a report an analyst might trust at face value.</w:t>
      </w:r>
    </w:p>
    <w:p>
      <w:pPr>
        <w:pStyle w:val="Heading2"/>
      </w:pPr>
      <w:r>
        <w:t>A12. SIF Precursor Fingerprint</w:t>
      </w:r>
    </w:p>
    <w:p>
      <w:r>
        <w:rPr>
          <w:b/>
        </w:rPr>
        <w:t xml:space="preserve">How it works: </w:t>
      </w:r>
      <w:r>
        <w:t>Every analyzed report is reduced to one structured record — SIF potential, confidence, hazard, energy source, exposure, activity, location, site, barrier statuses, Life-Saving Rule, potential consequence, reason codes, and a numeric embedding vector. This is the single reusable object every other intelligence feature below (similarity search, clustering, trends, ranking) reads from.</w:t>
      </w:r>
    </w:p>
    <w:p>
      <w:r>
        <w:rPr>
          <w:b/>
          <w:color w:val="B87B14"/>
        </w:rPr>
        <w:t xml:space="preserve">Why it's needed: </w:t>
      </w:r>
      <w:r>
        <w:t>Building this once as a well-defined structure — instead of having each feature independently re-derive facts from the raw report — is what lets the whole platform stay consistent and lets new intelligence features be added later without touching the core pipeline. It's the reusable “unit of intelligence” behind the whole product.</w:t>
      </w:r>
    </w:p>
    <w:p>
      <w:pPr>
        <w:pStyle w:val="Heading2"/>
      </w:pPr>
      <w:r>
        <w:t>A13. Similar-Report Semantic Search</w:t>
      </w:r>
    </w:p>
    <w:p>
      <w:r>
        <w:rPr>
          <w:b/>
        </w:rPr>
        <w:t xml:space="preserve">How it works: </w:t>
      </w:r>
      <w:r>
        <w:t>For any report, the system finds the reports (from the whole corpus, including the real reference incidents in A14) whose meaning is most similar — not just similar wording — using a numeric similarity comparison over each report's fingerprint embedding, computed on demand so results always reflect the latest data.</w:t>
      </w:r>
    </w:p>
    <w:p>
      <w:r>
        <w:rPr>
          <w:b/>
          <w:color w:val="B87B14"/>
        </w:rPr>
        <w:t xml:space="preserve">Why it's needed: </w:t>
      </w:r>
      <w:r>
        <w:t>“Has this happened before?” is one of the most valuable questions an investigator can ask. Finding semantically similar past events (not just ones sharing the same literal words) speeds up root-cause investigation and reveals patterns a keyword search would miss.</w:t>
      </w:r>
    </w:p>
    <w:p>
      <w:pPr>
        <w:pStyle w:val="Heading2"/>
      </w:pPr>
      <w:r>
        <w:t>A14. Real-Incident Reference Corpus Grounding</w:t>
      </w:r>
    </w:p>
    <w:p>
      <w:r>
        <w:rPr>
          <w:b/>
        </w:rPr>
        <w:t xml:space="preserve">How it works: </w:t>
      </w:r>
      <w:r>
        <w:t>A small set of 12 real, independently-verifiable historical severe-injury/fatality reports (each with a genuine citation — an actual OSHA FatalFacts bulletin or news-release URL, spanning all 9 Life-Saving Rule categories) is included in the similarity search alongside the demo data. These are run through the exact same analysis pipeline as every other report so they get real hazard/LSR/barrier tags, but are excluded from every KPI, dashboard count, trend, ranking, and cluster — they exist ONLY to be found as a citation.</w:t>
      </w:r>
    </w:p>
    <w:p>
      <w:r>
        <w:rPr>
          <w:b/>
          <w:color w:val="B87B14"/>
        </w:rPr>
        <w:t xml:space="preserve">Why it's needed: </w:t>
      </w:r>
      <w:r>
        <w:t>Without this, “similar precursors found: 87” only ever means “similar to our own made-up demo data,” which is not a claim a skeptical reviewer should accept. Being able to show “this shares conditions with a real, named, cited historical fatality” is a materially stronger, independently checkable form of evidence.</w:t>
      </w:r>
    </w:p>
    <w:p>
      <w:pPr>
        <w:pStyle w:val="Heading2"/>
      </w:pPr>
      <w:r>
        <w:t>A15. Precursor Clustering</w:t>
      </w:r>
    </w:p>
    <w:p>
      <w:r>
        <w:rPr>
          <w:b/>
        </w:rPr>
        <w:t xml:space="preserve">How it works: </w:t>
      </w:r>
      <w:r>
        <w:t>HIGH and MEDIUM risk reports are automatically grouped into clusters of similar situations using an unsupervised clustering algorithm (KMeans) over the same embeddings used for similarity search. Each cluster is automatically labelled from its own most distinctive words — never a hand-written label — and tagged with its dominant Life-Saving Rule and site.</w:t>
      </w:r>
    </w:p>
    <w:p>
      <w:r>
        <w:rPr>
          <w:b/>
          <w:color w:val="B87B14"/>
        </w:rPr>
        <w:t xml:space="preserve">Why it's needed: </w:t>
      </w:r>
      <w:r>
        <w:t>Individually, ten reports about isolation failures at the same site look like ten separate issues; grouped into a labelled cluster, they read as one recurring pattern demanding a systemic fix — exactly the kind of insight a manual, report-by-report review is likely to miss.</w:t>
      </w:r>
    </w:p>
    <w:p>
      <w:pPr>
        <w:pStyle w:val="Heading2"/>
      </w:pPr>
      <w:r>
        <w:t>A16. Trend &amp; Pattern Engine (“What Changed?”)</w:t>
      </w:r>
    </w:p>
    <w:p>
      <w:r>
        <w:rPr>
          <w:b/>
        </w:rPr>
        <w:t xml:space="preserve">How it works: </w:t>
      </w:r>
      <w:r>
        <w:t>The system tracks SIF classifications, Life-Saving Rule mix, and barrier failures month over month, and automatically generates plain-English statements like “Energy Isolation precursor reports increased 78.6% from Jan to Mar, concentrated in pipeline maintenance at Site B.” This is a purely descriptive, minimum-sample-gated statistical statement — the system explicitly labels it an observed correlation, never a claimed cause.</w:t>
      </w:r>
    </w:p>
    <w:p>
      <w:r>
        <w:rPr>
          <w:b/>
          <w:color w:val="B87B14"/>
        </w:rPr>
        <w:t xml:space="preserve">Why it's needed: </w:t>
      </w:r>
      <w:r>
        <w:t>A chart shows that something changed; a sentence tells a busy HSE manager what and where, in the time it takes to read one line, without them having to interpret the chart themselves — while being careful never to overstate what the data can actually prove.</w:t>
      </w:r>
    </w:p>
    <w:p>
      <w:pPr>
        <w:pStyle w:val="Heading2"/>
      </w:pPr>
      <w:r>
        <w:t>A17. Site / Activity Risk Ranking</w:t>
      </w:r>
    </w:p>
    <w:p>
      <w:r>
        <w:rPr>
          <w:b/>
        </w:rPr>
        <w:t xml:space="preserve">How it works: </w:t>
      </w:r>
      <w:r>
        <w:t>Sites and activities are ranked by SIF-precursor density — the proportion of their reports that are SIF-positive, not the raw count — so a site with a strong reporting culture (more reports overall) isn't unfairly made to look riskier than a site that simply under-reports. Raw counts are always shown alongside the density percentage, with an explicit note that this is report-volume-normalized, not a true exposure-hours risk rate.</w:t>
      </w:r>
    </w:p>
    <w:p>
      <w:r>
        <w:rPr>
          <w:b/>
          <w:color w:val="B87B14"/>
        </w:rPr>
        <w:t xml:space="preserve">Why it's needed: </w:t>
      </w:r>
      <w:r>
        <w:t>The problem statement explicitly asks for this ranking so HSE can target interventions, but a naive count ranking would actively punish good reporting behavior — this normalization (and the honesty about its own remaining limitation) is what makes the ranking fair and trustworthy enough to act on.</w:t>
      </w:r>
    </w:p>
    <w:p>
      <w:pPr>
        <w:pStyle w:val="Heading2"/>
      </w:pPr>
      <w:r>
        <w:t>A18. Site x Activity Risk Heatmap</w:t>
      </w:r>
    </w:p>
    <w:p>
      <w:r>
        <w:rPr>
          <w:b/>
        </w:rPr>
        <w:t xml:space="preserve">How it works: </w:t>
      </w:r>
      <w:r>
        <w:t>The same density numbers from A17 are also shown as a two-dimensional color-coded grid — sites down one side, activities across the top — so a reviewer can see at a glance exactly which site-and-activity combination (e.g. “Site B, Confined Space Entry”) is the real hot spot, not just which site or which activity in isolation.</w:t>
      </w:r>
    </w:p>
    <w:p>
      <w:r>
        <w:rPr>
          <w:b/>
          <w:color w:val="B87B14"/>
        </w:rPr>
        <w:t xml:space="preserve">Why it's needed: </w:t>
      </w:r>
      <w:r>
        <w:t>Risk is often concentrated in a specific combination, not a whole site or a whole activity type generally. A heatmap makes that concentration visually obvious in a way a ranked list of sites and a separate ranked list of activities cannot.</w:t>
      </w:r>
    </w:p>
    <w:p>
      <w:pPr>
        <w:pStyle w:val="Heading2"/>
      </w:pPr>
      <w:r>
        <w:t>A19. Cross-Site LSR Comparison</w:t>
      </w:r>
    </w:p>
    <w:p>
      <w:r>
        <w:rPr>
          <w:b/>
        </w:rPr>
        <w:t xml:space="preserve">How it works: </w:t>
      </w:r>
      <w:r>
        <w:t>A stacked chart compares the mix of Life-Saving Rules behind SIF-positive reports across every site side by side, so a reviewer can see, for instance, that Site D's risk is dominated by Working at Height while Site B's is dominated by Energy Isolation.</w:t>
      </w:r>
    </w:p>
    <w:p>
      <w:r>
        <w:rPr>
          <w:b/>
          <w:color w:val="B87B14"/>
        </w:rPr>
        <w:t xml:space="preserve">Why it's needed: </w:t>
      </w:r>
      <w:r>
        <w:t>Different sites often have structurally different risk profiles (a drilling rig vs. a pipeline corridor vs. a gas processing plant); comparing their Life-Saving Rule mix side by side supports genuinely site-specific safety interventions rather than a one-size-fits-all response.</w:t>
      </w:r>
    </w:p>
    <w:p>
      <w:r>
        <w:br w:type="page"/>
      </w:r>
    </w:p>
    <w:p>
      <w:pPr>
        <w:pStyle w:val="Heading1"/>
      </w:pPr>
      <w:r>
        <w:t>PART B — Human Oversight &amp; Governance</w:t>
      </w:r>
    </w:p>
    <w:p>
      <w:r>
        <w:rPr>
          <w:i/>
          <w:color w:val="57607A"/>
        </w:rPr>
        <w:t>Keeping a person in control of every consequential decision.</w:t>
      </w:r>
    </w:p>
    <w:p>
      <w:pPr>
        <w:pBdr>
          <w:bottom w:val="single" w:sz="6" w:space="1" w:color="E3E6F0"/>
        </w:pBdr>
        <w:spacing w:after="200"/>
      </w:pPr>
    </w:p>
    <w:p>
      <w:pPr>
        <w:pStyle w:val="Heading2"/>
      </w:pPr>
      <w:r>
        <w:t>B1. Human Review Workflow</w:t>
      </w:r>
    </w:p>
    <w:p>
      <w:r>
        <w:rPr>
          <w:b/>
        </w:rPr>
        <w:t xml:space="preserve">How it works: </w:t>
      </w:r>
      <w:r>
        <w:t>Any report flagged for review (or any report at all, at an analyst's discretion) can be Approved, Modified (with a corrected value and a mandatory reason), Rejected, or Escalated. Modifying a field stores the old and new value as structured feedback for future model improvement.</w:t>
      </w:r>
    </w:p>
    <w:p>
      <w:r>
        <w:rPr>
          <w:b/>
          <w:color w:val="B87B14"/>
        </w:rPr>
        <w:t xml:space="preserve">Why it's needed: </w:t>
      </w:r>
      <w:r>
        <w:t>The system is explicitly designed to never make a final, autonomous safety decision. This workflow is where a human's judgment overrides or confirms the AI's output, and it is the mechanism that makes the abstention policy (A9) meaningful rather than a dead end.</w:t>
      </w:r>
    </w:p>
    <w:p>
      <w:pPr>
        <w:pStyle w:val="Heading2"/>
      </w:pPr>
      <w:r>
        <w:t>B2. Feedback Capture for Model Improvement</w:t>
      </w:r>
    </w:p>
    <w:p>
      <w:r>
        <w:rPr>
          <w:b/>
        </w:rPr>
        <w:t xml:space="preserve">How it works: </w:t>
      </w:r>
      <w:r>
        <w:t>Every correction an analyst makes through the review workflow is stored as a structured, field-level feedback record (which field, old value, new value, who made the change), separate from the report itself.</w:t>
      </w:r>
    </w:p>
    <w:p>
      <w:r>
        <w:rPr>
          <w:b/>
          <w:color w:val="B87B14"/>
        </w:rPr>
        <w:t xml:space="preserve">Why it's needed: </w:t>
      </w:r>
      <w:r>
        <w:t>This is what turns human review from a one-time fix into a long-term improvement loop: a growing, high-quality, human-verified correction log that a future model-retraining pass can learn from, without ever touching or contaminating the held-out evaluation gold set.</w:t>
      </w:r>
    </w:p>
    <w:p>
      <w:pPr>
        <w:pStyle w:val="Heading2"/>
      </w:pPr>
      <w:r>
        <w:t>B3. Append-Only Audit Trail</w:t>
      </w:r>
    </w:p>
    <w:p>
      <w:r>
        <w:rPr>
          <w:b/>
        </w:rPr>
        <w:t xml:space="preserve">How it works: </w:t>
      </w:r>
      <w:r>
        <w:t>Every automated action (a report analyzed, a CSV batch uploaded) and every human action (a review decision) is written to a permanent, append-only log with a timestamp, actor, and structured metadata — deliberately never including the full report narrative text, to limit sensitive-data exposure in the log itself.</w:t>
      </w:r>
    </w:p>
    <w:p>
      <w:r>
        <w:rPr>
          <w:b/>
          <w:color w:val="B87B14"/>
        </w:rPr>
        <w:t xml:space="preserve">Why it's needed: </w:t>
      </w:r>
      <w:r>
        <w:t>A safety-critical system needs to be able to answer “who decided what, and when” after the fact, both for internal quality review and for external accountability. Keeping the log narrative-free is a small but deliberate privacy safeguard.</w:t>
      </w:r>
    </w:p>
    <w:p>
      <w:pPr>
        <w:pStyle w:val="Heading2"/>
      </w:pPr>
      <w:r>
        <w:t>B4. Role-Based Access Control (RBAC)</w:t>
      </w:r>
    </w:p>
    <w:p>
      <w:r>
        <w:rPr>
          <w:b/>
        </w:rPr>
        <w:t xml:space="preserve">How it works: </w:t>
      </w:r>
      <w:r>
        <w:t>Three roles are enforced end-to-end: Admin (full access, including the audit trail and user administration), HSE Analyst (can create, review, and re-analyze reports), and Viewer (read-only dashboard access). Every mutating action checks the caller's role before it is allowed to proceed.</w:t>
      </w:r>
    </w:p>
    <w:p>
      <w:r>
        <w:rPr>
          <w:b/>
          <w:color w:val="B87B14"/>
        </w:rPr>
        <w:t xml:space="preserve">Why it's needed: </w:t>
      </w:r>
      <w:r>
        <w:t>Not everyone who can see the dashboard should be able to change a safety classification or see the internal audit log — this is standard, necessary access discipline for any tool that real HSE decisions would flow through.</w:t>
      </w:r>
    </w:p>
    <w:p>
      <w:pPr>
        <w:pStyle w:val="Heading2"/>
      </w:pPr>
      <w:r>
        <w:t>B5. Model Evaluation Harness</w:t>
      </w:r>
    </w:p>
    <w:p>
      <w:r>
        <w:rPr>
          <w:b/>
        </w:rPr>
        <w:t xml:space="preserve">How it works: </w:t>
      </w:r>
      <w:r>
        <w:t>Precision, recall, F1-score, and false-negative rate are computed for the SIF classifier, and top-1/per-rule accuracy is computed for the Life-Saving Rule mapping — always against a held-out “gold set” of reports that were never used to train anything. Every number shown is explicitly labelled as computed on the synthetic demo dataset, never claimed as real-world production accuracy. Where too little data exists for a metric to be meaningful, the system says so honestly instead of hiding or inventing a number.</w:t>
      </w:r>
    </w:p>
    <w:p>
      <w:r>
        <w:rPr>
          <w:b/>
          <w:color w:val="B87B14"/>
        </w:rPr>
        <w:t xml:space="preserve">Why it's needed: </w:t>
      </w:r>
      <w:r>
        <w:t>In this domain, a missed genuine precursor (a false negative) is a far worse failure than a false alarm, so recall and the false-negative rate on the HIGH/MEDIUM classes are treated as the headline safety metric — not overall accuracy, which can look good while quietly missing the cases that matter most.</w:t>
      </w:r>
    </w:p>
    <w:p>
      <w:r>
        <w:br w:type="page"/>
      </w:r>
    </w:p>
    <w:p>
      <w:pPr>
        <w:pStyle w:val="Heading1"/>
      </w:pPr>
      <w:r>
        <w:t>PART C — Application &amp; Dashboard</w:t>
      </w:r>
    </w:p>
    <w:p>
      <w:r>
        <w:rPr>
          <w:i/>
          <w:color w:val="57607A"/>
        </w:rPr>
        <w:t>What an HSE analyst actually sees and clicks through.</w:t>
      </w:r>
    </w:p>
    <w:p>
      <w:pPr>
        <w:pBdr>
          <w:bottom w:val="single" w:sz="6" w:space="1" w:color="E3E6F0"/>
        </w:pBdr>
        <w:spacing w:after="200"/>
      </w:pPr>
    </w:p>
    <w:p>
      <w:pPr>
        <w:pStyle w:val="Heading2"/>
      </w:pPr>
      <w:r>
        <w:t>C1. Secure Login</w:t>
      </w:r>
    </w:p>
    <w:p>
      <w:r>
        <w:rPr>
          <w:b/>
        </w:rPr>
        <w:t xml:space="preserve">How it works: </w:t>
      </w:r>
      <w:r>
        <w:t>Email/password sign-in issues a time-limited access token (12-hour session) used to authenticate every subsequent request; passwords are stored using industry-standard one-way hashing, never in plain text.</w:t>
      </w:r>
    </w:p>
    <w:p>
      <w:r>
        <w:rPr>
          <w:b/>
          <w:color w:val="B87B14"/>
        </w:rPr>
        <w:t xml:space="preserve">Why it's needed: </w:t>
      </w:r>
      <w:r>
        <w:t>Every other feature in this document depends on knowing who is asking and what they're allowed to do — this is the entry point that makes RBAC (B4) and the audit trail (B3) actually attributable to a real person.</w:t>
      </w:r>
    </w:p>
    <w:p>
      <w:pPr>
        <w:pStyle w:val="Heading2"/>
      </w:pPr>
      <w:r>
        <w:t>C2. HSE Intelligence Dashboard</w:t>
      </w:r>
    </w:p>
    <w:p>
      <w:r>
        <w:rPr>
          <w:b/>
        </w:rPr>
        <w:t xml:space="preserve">How it works: </w:t>
      </w:r>
      <w:r>
        <w:t>The landing page: six headline KPI cards (total reports, SIF-potential count, high-risk count, how many the AI abstained on, repeat-precursor count, critical barrier failures), a SIF trend line chart, a classification-split pie chart, an LSR distribution bar chart, a barrier-failure bar chart, a top-sites table, the site x activity heatmap (A18), and the cross-site LSR comparison (A19) — all computed live from the current dataset, never mocked.</w:t>
      </w:r>
    </w:p>
    <w:p>
      <w:r>
        <w:rPr>
          <w:b/>
          <w:color w:val="B87B14"/>
        </w:rPr>
        <w:t xml:space="preserve">Why it's needed: </w:t>
      </w:r>
      <w:r>
        <w:t>This is the single screen a busy HSE manager should be able to glance at each morning and immediately know where to look next — every other page exists to let them drill into one thing this page surfaces.</w:t>
      </w:r>
    </w:p>
    <w:p>
      <w:pPr>
        <w:pStyle w:val="Heading2"/>
      </w:pPr>
      <w:r>
        <w:t>C3. Reports List with Multi-Field Filters</w:t>
      </w:r>
    </w:p>
    <w:p>
      <w:r>
        <w:rPr>
          <w:b/>
        </w:rPr>
        <w:t xml:space="preserve">How it works: </w:t>
      </w:r>
      <w:r>
        <w:t>Every report can be filtered by SIF level, report type, site, activity, Life-Saving Rule, barrier type, a date range, and free-text search over the narrative/title — all combinable at once, with the filter options themselves pulled live from what actually exists in the database.</w:t>
      </w:r>
    </w:p>
    <w:p>
      <w:r>
        <w:rPr>
          <w:b/>
          <w:color w:val="B87B14"/>
        </w:rPr>
        <w:t xml:space="preserve">Why it's needed: </w:t>
      </w:r>
      <w:r>
        <w:t>A real HSE dataset quickly grows to hundreds or thousands of reports; without rich filtering, finding “all confined-space reports at Site B in March with a failed gas-detection barrier” would mean scrolling through everything by hand.</w:t>
      </w:r>
    </w:p>
    <w:p>
      <w:pPr>
        <w:pStyle w:val="Heading2"/>
      </w:pPr>
      <w:r>
        <w:t>C4. New Report Submission Form</w:t>
      </w:r>
    </w:p>
    <w:p>
      <w:r>
        <w:rPr>
          <w:b/>
        </w:rPr>
        <w:t xml:space="preserve">How it works: </w:t>
      </w:r>
      <w:r>
        <w:t>A structured form (report type, title, narrative, site, activity, location, reporter) that runs the full AI pipeline the instant it's submitted and takes the user straight to the finished analysis. A one-click “use flagship demo scenario” button pre-fills the project's own worked example for fast demonstration.</w:t>
      </w:r>
    </w:p>
    <w:p>
      <w:r>
        <w:rPr>
          <w:b/>
          <w:color w:val="B87B14"/>
        </w:rPr>
        <w:t xml:space="preserve">Why it's needed: </w:t>
      </w:r>
      <w:r>
        <w:t>This is the ingestion point matching how OIL's HSSE platform is actually used day to day — one report entered as an event happens — as opposed to only supporting bulk historical loads.</w:t>
      </w:r>
    </w:p>
    <w:p>
      <w:pPr>
        <w:pStyle w:val="Heading2"/>
      </w:pPr>
      <w:r>
        <w:t>C5. CSV Batch Upload</w:t>
      </w:r>
    </w:p>
    <w:p>
      <w:r>
        <w:rPr>
          <w:b/>
        </w:rPr>
        <w:t xml:space="preserve">How it works: </w:t>
      </w:r>
      <w:r>
        <w:t>A CSV file (with a required narrative column and several optional columns) is uploaded, and every row is individually validated, deduplicated, and analyzed, with a downloadable sample template and a per-row success/failure/duplicate result table shown after upload.</w:t>
      </w:r>
    </w:p>
    <w:p>
      <w:r>
        <w:rPr>
          <w:b/>
          <w:color w:val="B87B14"/>
        </w:rPr>
        <w:t xml:space="preserve">Why it's needed: </w:t>
      </w:r>
      <w:r>
        <w:t>This is the practical path for OIL to load historical data or connect a periodic export from an existing system without any code changes — the ingestion pipeline is explicitly designed to accept real OIL data on day one through this same path.</w:t>
      </w:r>
    </w:p>
    <w:p>
      <w:pPr>
        <w:pStyle w:val="Heading2"/>
      </w:pPr>
      <w:r>
        <w:t>C6. Report Detail Page with Precursor Chain Diagram</w:t>
      </w:r>
    </w:p>
    <w:p>
      <w:r>
        <w:rPr>
          <w:b/>
        </w:rPr>
        <w:t xml:space="preserve">How it works: </w:t>
      </w:r>
      <w:r>
        <w:t>The full analysis for one report: original narrative, SIF assessment with confidence, a visual Hazard -&gt; Energy -&gt; Exposure -&gt; Barrier -&gt; Consequence chain diagram, the evidence-based explanation, the risk-score breakdown, similar reports (including real cited incidents, shown distinctly with an external link rather than an internal page), and the human-review action buttons.</w:t>
      </w:r>
    </w:p>
    <w:p>
      <w:r>
        <w:rPr>
          <w:b/>
          <w:color w:val="B87B14"/>
        </w:rPr>
        <w:t xml:space="preserve">Why it's needed: </w:t>
      </w:r>
      <w:r>
        <w:t>This is where an analyst actually does their work on a single report, and the chain diagram in particular is a visual explanation format the project's own competitor research found no visible competitor product offering — it makes the causal story readable at a glance instead of as a list of separate fields.</w:t>
      </w:r>
    </w:p>
    <w:p>
      <w:pPr>
        <w:pStyle w:val="Heading2"/>
      </w:pPr>
      <w:r>
        <w:t>C7. Review Queue</w:t>
      </w:r>
    </w:p>
    <w:p>
      <w:r>
        <w:rPr>
          <w:b/>
        </w:rPr>
        <w:t xml:space="preserve">How it works: </w:t>
      </w:r>
      <w:r>
        <w:t>A dedicated worklist of every report currently needing human attention (REVIEW-classified, low-confidence, or analyst-escalated), each shown with its narrative excerpt, abstain reason, and one-click Approve/Modify/Reject/Escalate actions — with Modify opening an inline form requiring a reason.</w:t>
      </w:r>
    </w:p>
    <w:p>
      <w:r>
        <w:rPr>
          <w:b/>
          <w:color w:val="B87B14"/>
        </w:rPr>
        <w:t xml:space="preserve">Why it's needed: </w:t>
      </w:r>
      <w:r>
        <w:t>Without a dedicated queue, “reports needing review” would be an invisible subset mixed into hundreds of other reports; this page is what makes the abstention policy (A9) an actionable, checkable-off worklist instead of just a hidden flag on individual records.</w:t>
      </w:r>
    </w:p>
    <w:p>
      <w:pPr>
        <w:pStyle w:val="Heading2"/>
      </w:pPr>
      <w:r>
        <w:t>C8. Precursor Clusters Page</w:t>
      </w:r>
    </w:p>
    <w:p>
      <w:r>
        <w:rPr>
          <w:b/>
        </w:rPr>
        <w:t xml:space="preserve">How it works: </w:t>
      </w:r>
      <w:r>
        <w:t>Every computed cluster (A15) shown as a card with its auto-generated label, member count, dominant Life-Saving Rule and site, and top distinctive terms; clicking a cluster lists every report inside it. An authorized user can trigger an on-demand recompute.</w:t>
      </w:r>
    </w:p>
    <w:p>
      <w:r>
        <w:rPr>
          <w:b/>
          <w:color w:val="B87B14"/>
        </w:rPr>
        <w:t xml:space="preserve">Why it's needed: </w:t>
      </w:r>
      <w:r>
        <w:t>This turns the clustering intelligence (A15) from a backend computation into something HSE can actually browse and drill into to find every report behind a named recurring pattern.</w:t>
      </w:r>
    </w:p>
    <w:p>
      <w:pPr>
        <w:pStyle w:val="Heading2"/>
      </w:pPr>
      <w:r>
        <w:t>C9. Trends Page</w:t>
      </w:r>
    </w:p>
    <w:p>
      <w:r>
        <w:rPr>
          <w:b/>
        </w:rPr>
        <w:t xml:space="preserve">How it works: </w:t>
      </w:r>
      <w:r>
        <w:t>The “What Changed?” statements (A16) alongside a hazard-type pie chart and an energy-source bar chart across the whole analyzed dataset.</w:t>
      </w:r>
    </w:p>
    <w:p>
      <w:r>
        <w:rPr>
          <w:b/>
          <w:color w:val="B87B14"/>
        </w:rPr>
        <w:t xml:space="preserve">Why it's needed: </w:t>
      </w:r>
      <w:r>
        <w:t>Separates slower-moving, exploratory pattern analysis from the fast-glance dashboard (C2), giving it room to be examined in more depth without cluttering the daily-use landing page.</w:t>
      </w:r>
    </w:p>
    <w:p>
      <w:pPr>
        <w:pStyle w:val="Heading2"/>
      </w:pPr>
      <w:r>
        <w:t>C10. Site / Activity Rankings Page</w:t>
      </w:r>
    </w:p>
    <w:p>
      <w:r>
        <w:rPr>
          <w:b/>
        </w:rPr>
        <w:t xml:space="preserve">How it works: </w:t>
      </w:r>
      <w:r>
        <w:t>The full site and activity density rankings (A17) plus the heatmap (A18) in one dedicated view, each table shown with its denominator-limitation caveat directly beside it, never hidden in a tooltip.</w:t>
      </w:r>
    </w:p>
    <w:p>
      <w:r>
        <w:rPr>
          <w:b/>
          <w:color w:val="B87B14"/>
        </w:rPr>
        <w:t xml:space="preserve">Why it's needed: </w:t>
      </w:r>
      <w:r>
        <w:t>Ranking decisions can drive real intervention budgets, so this page exists to let HSE examine the full, unranked, honestly-caveated numbers rather than only the abbreviated “top 5” shown on the dashboard.</w:t>
      </w:r>
    </w:p>
    <w:p>
      <w:pPr>
        <w:pStyle w:val="Heading2"/>
      </w:pPr>
      <w:r>
        <w:t>C11. Evaluation Page</w:t>
      </w:r>
    </w:p>
    <w:p>
      <w:r>
        <w:rPr>
          <w:b/>
        </w:rPr>
        <w:t xml:space="preserve">How it works: </w:t>
      </w:r>
      <w:r>
        <w:t>The full model evaluation harness (B5) results — per-class precision/recall/F1, the false-negative rate, LSR top-1 accuracy per rule, and human-review correction/escalation rates — with a persistent disclaimer that these are synthetic-dataset methodology numbers, not production accuracy.</w:t>
      </w:r>
    </w:p>
    <w:p>
      <w:r>
        <w:rPr>
          <w:b/>
          <w:color w:val="B87B14"/>
        </w:rPr>
        <w:t xml:space="preserve">Why it's needed: </w:t>
      </w:r>
      <w:r>
        <w:t>Judges and stakeholders will ask “how do you know this works?” — this page is the honest, numeric answer, and making it a real page (not just a claim in a slide) is itself part of the project's trust-layer argument.</w:t>
      </w:r>
    </w:p>
    <w:p>
      <w:pPr>
        <w:pStyle w:val="Heading2"/>
      </w:pPr>
      <w:r>
        <w:t>C12. Audit Trail Page (Admin only)</w:t>
      </w:r>
    </w:p>
    <w:p>
      <w:r>
        <w:rPr>
          <w:b/>
        </w:rPr>
        <w:t xml:space="preserve">How it works: </w:t>
      </w:r>
      <w:r>
        <w:t>A chronological, filterable table of every logged action (B3) — timestamp, action, entity, actor, structured detail — visible only to the Admin role.</w:t>
      </w:r>
    </w:p>
    <w:p>
      <w:r>
        <w:rPr>
          <w:b/>
          <w:color w:val="B87B14"/>
        </w:rPr>
        <w:t xml:space="preserve">Why it's needed: </w:t>
      </w:r>
      <w:r>
        <w:t>Makes the append-only audit log (B3) something a real administrator can actually review, not just data sitting inertly in a database table.</w:t>
      </w:r>
    </w:p>
    <w:p>
      <w:pPr>
        <w:pStyle w:val="Heading2"/>
      </w:pPr>
      <w:r>
        <w:t>C13. About / IOGP Reference Page</w:t>
      </w:r>
    </w:p>
    <w:p>
      <w:r>
        <w:rPr>
          <w:b/>
        </w:rPr>
        <w:t xml:space="preserve">How it works: </w:t>
      </w:r>
      <w:r>
        <w:t>The product's stated philosophy, an honest, unhedged list of the prototype's current known limitations (rule-based NLP, dataset size, exposure-hours data gap, LLM being optional, the reference corpus's current size), and a plain-language reference card for all 9 IOGP Life-Saving Rules.</w:t>
      </w:r>
    </w:p>
    <w:p>
      <w:r>
        <w:rPr>
          <w:b/>
          <w:color w:val="B87B14"/>
        </w:rPr>
        <w:t xml:space="preserve">Why it's needed: </w:t>
      </w:r>
      <w:r>
        <w:t>A safety tool should be legible about its own limits, not just its capabilities — this page is where that honesty lives for anyone (a new analyst, a judge, an auditor) trying to understand what to trust the system for and what still needs a human's independent judgment.</w:t>
      </w:r>
    </w:p>
    <w:p>
      <w:r>
        <w:br w:type="page"/>
      </w:r>
    </w:p>
    <w:p>
      <w:pPr>
        <w:pStyle w:val="Heading1"/>
      </w:pPr>
      <w:r>
        <w:t>PART D — Data, Design &amp; Trust Foundations</w:t>
      </w:r>
    </w:p>
    <w:p>
      <w:r>
        <w:rPr>
          <w:i/>
          <w:color w:val="57607A"/>
        </w:rPr>
        <w:t>What everything above is built on top of.</w:t>
      </w:r>
    </w:p>
    <w:p>
      <w:pPr>
        <w:pBdr>
          <w:bottom w:val="single" w:sz="6" w:space="1" w:color="E3E6F0"/>
        </w:pBdr>
        <w:spacing w:after="200"/>
      </w:pPr>
    </w:p>
    <w:p>
      <w:pPr>
        <w:pStyle w:val="Heading2"/>
      </w:pPr>
      <w:r>
        <w:t>D1. Synthetic Demo Dataset (315 Reports)</w:t>
      </w:r>
    </w:p>
    <w:p>
      <w:r>
        <w:rPr>
          <w:b/>
        </w:rPr>
        <w:t xml:space="preserve">How it works: </w:t>
      </w:r>
      <w:r>
        <w:t>315 team-authored safety narratives grounded in real IOGP/DEKRA-style precursor patterns, covering all 9 Life-Saving Rules, deliberate good-practice examples, low-severity housekeeping items, and specifically-designed edge cases (a false-positive keyword trap, a fully-compliant confined-space entry, deliberately terse/ambiguous phrasing). Every such report is tagged and badged in the UI as synthetic demo data.</w:t>
      </w:r>
    </w:p>
    <w:p>
      <w:r>
        <w:rPr>
          <w:b/>
          <w:color w:val="B87B14"/>
        </w:rPr>
        <w:t xml:space="preserve">Why it's needed: </w:t>
      </w:r>
      <w:r>
        <w:t>No real OIL data was available to build this prototype against, so the dataset had to be built honestly and clearly labelled as such everywhere it appears — never presented as if it were real production data — while still being realistic and varied enough to meaningfully exercise every feature above.</w:t>
      </w:r>
    </w:p>
    <w:p>
      <w:pPr>
        <w:pStyle w:val="Heading2"/>
      </w:pPr>
      <w:r>
        <w:t>D2. Visual Design System</w:t>
      </w:r>
    </w:p>
    <w:p>
      <w:r>
        <w:rPr>
          <w:b/>
        </w:rPr>
        <w:t xml:space="preserve">How it works: </w:t>
      </w:r>
      <w:r>
        <w:t>A single, consistent design language — a deep-ink-and-amber color palette (echoing industrial hazard signage rather than a generic blue SaaS look), one consistent typeface pairing, a hand-built icon set, and shared card/button/badge building blocks — applied identically across every one of the 13 pages.</w:t>
      </w:r>
    </w:p>
    <w:p>
      <w:r>
        <w:rPr>
          <w:b/>
          <w:color w:val="B87B14"/>
        </w:rPr>
        <w:t xml:space="preserve">Why it's needed: </w:t>
      </w:r>
      <w:r>
        <w:t>A dashboard used daily by safety professionals needs to look and feel serious, consistent, and quick to scan under pressure; a shared design system is what keeps 13 different pages reading as one coherent product instead of a patchwork of independently-styled screens.</w:t>
      </w:r>
    </w:p>
    <w:p>
      <w:pPr>
        <w:pStyle w:val="Heading2"/>
      </w:pPr>
      <w:r>
        <w:t>D3. Offline-Safe Operation</w:t>
      </w:r>
    </w:p>
    <w:p>
      <w:r>
        <w:rPr>
          <w:b/>
        </w:rPr>
        <w:t xml:space="preserve">How it works: </w:t>
      </w:r>
      <w:r>
        <w:t>The entire core pipeline — ingestion, entity extraction, LSR mapping, barrier detection, SIF classification, risk scoring, similarity search, clustering, ranking, and the dashboard — runs on local logic and a local database with zero external network calls required. Only the optional AI-polish step (A10) ever calls an outside service, and the system is fully functional with that switched off.</w:t>
      </w:r>
    </w:p>
    <w:p>
      <w:r>
        <w:rPr>
          <w:b/>
          <w:color w:val="B87B14"/>
        </w:rPr>
        <w:t xml:space="preserve">Why it's needed: </w:t>
      </w:r>
      <w:r>
        <w:t>A safety tool that stops working the moment an internet connection or a third-party AI service is unavailable is not something a real operations team can depend on; this guarantees the core safety intelligence keeps working regardless.</w:t>
      </w:r>
    </w:p>
    <w:p>
      <w:pPr>
        <w:pStyle w:val="Heading2"/>
      </w:pPr>
      <w:r>
        <w:t>D4. Source Discipline &amp; Honest Labeling</w:t>
      </w:r>
    </w:p>
    <w:p>
      <w:r>
        <w:rPr>
          <w:b/>
        </w:rPr>
        <w:t xml:space="preserve">How it works: </w:t>
      </w:r>
      <w:r>
        <w:t>Throughout the product, a clear line is drawn between verified facts (the 9 IOGP rules themselves), this team's own design decisions (the risk-score weights, confidence thresholds), and synthetic or externally-sourced data (the demo dataset, the reference corpus) — each labelled as what it actually is, everywhere it appears in the UI, not just in this document.</w:t>
      </w:r>
    </w:p>
    <w:p>
      <w:r>
        <w:rPr>
          <w:b/>
          <w:color w:val="B87B14"/>
        </w:rPr>
        <w:t xml:space="preserve">Why it's needed: </w:t>
      </w:r>
      <w:r>
        <w:t>Nothing here should ever be mistaken for “OIL's real data” or an “official IOGP formula.” This discipline is what lets every other claim in this document — and in the live product — be taken at face value instead of requiring the reader to guess what's real.</w:t>
      </w:r>
    </w:p>
    <w:p>
      <w:r>
        <w:br w:type="page"/>
      </w:r>
    </w:p>
    <w:p>
      <w:pPr>
        <w:pStyle w:val="Heading1"/>
      </w:pPr>
      <w:r>
        <w:t>Summary</w:t>
      </w:r>
    </w:p>
    <w:p>
      <w:r>
        <w:t>34 features across four parts: 19 AI/NLP intelligence-pipeline features that turn free text into structured, explainable risk intelligence; 5 human-oversight and governance features that keep a person in control of every consequential decision; 13 application pages an HSE user directly interacts with; and 4 foundational data/design/trust properties everything else depends on.</w:t>
      </w:r>
    </w:p>
    <w:p>
      <w:r>
        <w:rPr>
          <w:i/>
          <w:color w:val="57607A"/>
        </w:rPr>
        <w:t>Generated from the current, working SIFGuard-OIL codebase. Every feature described above is implemented, running code — this document describes what exists today, not a roadmap.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217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B87B14"/>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21729"/>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2172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