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Hiragino Sans GB" w:hAnsi="Hiragino Sans GB" w:eastAsia="Hiragino Sans GB"/>
          <w:b/>
          <w:color w:val="2E74B5"/>
          <w:sz w:val="20"/>
        </w:rPr>
        <w:t>初步研究报告</w:t>
      </w:r>
    </w:p>
    <w:p>
      <w:pPr>
        <w:spacing w:after="100"/>
      </w:pPr>
      <w:r>
        <w:rPr>
          <w:rFonts w:ascii="Hiragino Sans GB" w:hAnsi="Hiragino Sans GB" w:eastAsia="Hiragino Sans GB"/>
          <w:b/>
          <w:color w:val="172B3A"/>
          <w:sz w:val="48"/>
        </w:rPr>
        <w:t>寒武纪叙事风险初步评估</w:t>
      </w:r>
    </w:p>
    <w:p>
      <w:pPr>
        <w:spacing w:after="320"/>
      </w:pPr>
      <w:r>
        <w:rPr>
          <w:rFonts w:ascii="Hiragino Sans GB" w:hAnsi="Hiragino Sans GB" w:eastAsia="Hiragino Sans GB"/>
          <w:color w:val="5D6973"/>
          <w:sz w:val="26"/>
        </w:rPr>
        <w:t>基于公司自身表述、第三方表述与企业叙事前瞻性背离框架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72B3A"/>
          <w:sz w:val="21"/>
        </w:rPr>
        <w:t>评估对象：</w:t>
      </w:r>
      <w:r>
        <w:rPr>
          <w:rFonts w:ascii="Hiragino Sans GB" w:hAnsi="Hiragino Sans GB" w:eastAsia="Hiragino Sans GB"/>
          <w:color w:val="172B3A"/>
          <w:sz w:val="21"/>
        </w:rPr>
        <w:t>中科寒武纪科技股份有限公司（688256.SH）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72B3A"/>
          <w:sz w:val="21"/>
        </w:rPr>
        <w:t>观察截止：</w:t>
      </w:r>
      <w:r>
        <w:rPr>
          <w:rFonts w:ascii="Hiragino Sans GB" w:hAnsi="Hiragino Sans GB" w:eastAsia="Hiragino Sans GB"/>
          <w:color w:val="172B3A"/>
          <w:sz w:val="21"/>
        </w:rPr>
        <w:t>2026年8月25日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72B3A"/>
          <w:sz w:val="21"/>
        </w:rPr>
        <w:t>材料范围：</w:t>
      </w:r>
      <w:r>
        <w:rPr>
          <w:rFonts w:ascii="Hiragino Sans GB" w:hAnsi="Hiragino Sans GB" w:eastAsia="Hiragino Sans GB"/>
          <w:color w:val="172B3A"/>
          <w:sz w:val="21"/>
        </w:rPr>
        <w:t>公司定期报告、独立财经媒体、券商研报及平台现有新闻代理数据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72B3A"/>
          <w:sz w:val="21"/>
        </w:rPr>
        <w:t>使用限制：</w:t>
      </w:r>
      <w:r>
        <w:rPr>
          <w:rFonts w:ascii="Hiragino Sans GB" w:hAnsi="Hiragino Sans GB" w:eastAsia="Hiragino Sans GB"/>
          <w:color w:val="172B3A"/>
          <w:sz w:val="21"/>
        </w:rPr>
        <w:t>部分覆盖｜仅作叙事校验｜不参与综合评分</w:t>
      </w:r>
    </w:p>
    <w:p>
      <w:pPr>
        <w:spacing w:before="180" w:after="200"/>
        <w:pBdr>
          <w:bottom w:val="single" w:sz="12" w:space="1" w:color="2E74B5"/>
        </w:pBdr>
      </w:pPr>
    </w:p>
    <w:p>
      <w:pPr>
        <w:keepLines/>
        <w:spacing w:before="120" w:after="200" w:line="269" w:lineRule="auto"/>
        <w:ind w:left="230" w:right="115"/>
        <w:shd w:fill="EAF4EC" w:val="clear"/>
        <w:pBdr>
          <w:left w:val="single" w:sz="18" w:space="8" w:color="1F5E3B"/>
        </w:pBdr>
      </w:pPr>
      <w:r>
        <w:rPr>
          <w:rFonts w:ascii="Hiragino Sans GB" w:hAnsi="Hiragino Sans GB" w:eastAsia="Hiragino Sans GB"/>
          <w:b/>
          <w:color w:val="1F5E3B"/>
          <w:sz w:val="22"/>
        </w:rPr>
        <w:t xml:space="preserve">结论摘要  </w:t>
      </w:r>
      <w:r>
        <w:rPr>
          <w:rFonts w:ascii="Hiragino Sans GB" w:hAnsi="Hiragino Sans GB" w:eastAsia="Hiragino Sans GB"/>
          <w:color w:val="172B3A"/>
          <w:sz w:val="22"/>
        </w:rPr>
        <w:t>当前未发现寒武纪存在明显“公司自我炒作显著高于第三方”的证据；公司乐观叙事得到当期收入和利润增长支撑，但交付、库存转化、现金流、供应链与高估值仍是必须验证的约束。暂定叙事风险为“中低风险观察”，置信度较低，不计入综合风险评分。</w:t>
      </w:r>
    </w:p>
    <w:p>
      <w:pPr>
        <w:pStyle w:val="Heading1"/>
        <w:keepNext/>
      </w:pPr>
      <w:r>
        <w:t>一、执行摘要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A"/>
          <w:left w:val="single" w:sz="6" w:space="0" w:color="CBD3DA"/>
          <w:bottom w:val="single" w:sz="6" w:space="0" w:color="CBD3DA"/>
          <w:right w:val="single" w:sz="6" w:space="0" w:color="CBD3DA"/>
          <w:insideH w:val="single" w:sz="6" w:space="0" w:color="CBD3DA"/>
          <w:insideV w:val="single" w:sz="6" w:space="0" w:color="CBD3DA"/>
        </w:tblBorders>
      </w:tblPr>
      <w:tblGrid>
        <w:gridCol w:w="2080"/>
        <w:gridCol w:w="1520"/>
        <w:gridCol w:w="900"/>
        <w:gridCol w:w="4860"/>
      </w:tblGrid>
      <w:tr>
        <w:trPr>
          <w:cantSplit/>
          <w:tblHeader w:val="true"/>
        </w:trP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指标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当前判断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置信度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判断依据</w:t>
            </w:r>
          </w:p>
        </w:tc>
      </w:tr>
      <w:tr>
        <w:tc>
          <w:tcPr>
            <w:tcW w:type="dxa" w:w="20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自身—第三方叙事偏差</w:t>
            </w:r>
          </w:p>
        </w:tc>
        <w:tc>
          <w:tcPr>
            <w:tcW w:type="dxa" w:w="152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暂未发现明显高风险</w:t>
            </w:r>
          </w:p>
        </w:tc>
        <w:tc>
          <w:tcPr>
            <w:tcW w:type="dxa" w:w="90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低</w:t>
            </w:r>
          </w:p>
        </w:tc>
        <w:tc>
          <w:tcPr>
            <w:tcW w:type="dxa" w:w="48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第三方整体同样认可业绩与国产算力逻辑，同时补充交付、估值和供应链约束。尚未完成同行残差回归。</w:t>
            </w:r>
          </w:p>
        </w:tc>
      </w:tr>
      <w:tr>
        <w:tc>
          <w:tcPr>
            <w:tcW w:type="dxa" w:w="20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前瞻性叙事背离 PNFDI</w:t>
            </w:r>
          </w:p>
        </w:tc>
        <w:tc>
          <w:tcPr>
            <w:tcW w:type="dxa" w:w="152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待验证</w:t>
            </w:r>
          </w:p>
        </w:tc>
        <w:tc>
          <w:tcPr>
            <w:tcW w:type="dxa" w:w="90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低</w:t>
            </w:r>
          </w:p>
        </w:tc>
        <w:tc>
          <w:tcPr>
            <w:tcW w:type="dxa" w:w="48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当期业绩支持乐观方向，但2026—2028年目标及后续交付尚未经过历史窗口显著性检验。</w:t>
            </w:r>
          </w:p>
        </w:tc>
      </w:tr>
      <w:tr>
        <w:tc>
          <w:tcPr>
            <w:tcW w:type="dxa" w:w="20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综合叙事风险</w:t>
            </w:r>
          </w:p>
        </w:tc>
        <w:tc>
          <w:tcPr>
            <w:tcW w:type="dxa" w:w="152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中低风险观察</w:t>
            </w:r>
          </w:p>
        </w:tc>
        <w:tc>
          <w:tcPr>
            <w:tcW w:type="dxa" w:w="90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低</w:t>
            </w:r>
          </w:p>
        </w:tc>
        <w:tc>
          <w:tcPr>
            <w:tcW w:type="dxa" w:w="48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结论仅用于叙事校验；正式量化前不得进入综合评分。</w:t>
            </w:r>
          </w:p>
        </w:tc>
      </w:tr>
    </w:tbl>
    <w:p>
      <w:pPr>
        <w:spacing w:before="80" w:after="80"/>
      </w:pPr>
    </w:p>
    <w:p>
      <w:pPr>
        <w:keepLines w:val="0"/>
        <w:spacing w:before="0" w:after="160" w:line="264" w:lineRule="auto"/>
      </w:pPr>
      <w:r>
        <w:rPr>
          <w:rFonts w:ascii="Hiragino Sans GB" w:hAnsi="Hiragino Sans GB" w:eastAsia="Hiragino Sans GB"/>
          <w:color w:val="172B3A"/>
          <w:sz w:val="22"/>
        </w:rPr>
        <w:t>这里的“中低风险”不是正式统计分值，而是基于当前公开证据的方向性观察。正式指标要求同口径同行全文、至少20个季度历史数据、基本面控制变量以及滚动回归结果；当前材料尚未满足这些条件。</w:t>
      </w:r>
    </w:p>
    <w:p>
      <w:pPr>
        <w:pStyle w:val="Heading1"/>
        <w:keepNext/>
      </w:pPr>
      <w:r>
        <w:t>二、评估框架与口径</w:t>
      </w:r>
    </w:p>
    <w:p>
      <w:pPr>
        <w:keepLines w:val="0"/>
        <w:spacing w:before="0" w:after="120" w:line="264" w:lineRule="auto"/>
      </w:pPr>
      <w:r>
        <w:rPr>
          <w:rFonts w:ascii="Hiragino Sans GB" w:hAnsi="Hiragino Sans GB" w:eastAsia="Hiragino Sans GB"/>
          <w:color w:val="172B3A"/>
          <w:sz w:val="22"/>
        </w:rPr>
        <w:t>本报告依据两套新叙事标准整理证据。第一套关注公司自身与第三方表述的异常强度差异；第二套关注当期乐观叙事能否显著预测下一期经营基本面。报告严格区分“可观察证据”和“可计分指标”。</w:t>
      </w:r>
    </w:p>
    <w:p>
      <w:pPr>
        <w:pStyle w:val="Heading2"/>
        <w:keepNext/>
      </w:pPr>
      <w:r>
        <w:t>2.1 自身—第三方叙事偏差</w:t>
      </w:r>
    </w:p>
    <w:p>
      <w:pPr>
        <w:keepLines/>
        <w:spacing w:before="120" w:after="200" w:line="269" w:lineRule="auto"/>
        <w:ind w:left="230" w:right="115"/>
        <w:shd w:fill="F4F6F9" w:val="clear"/>
        <w:pBdr>
          <w:left w:val="single" w:sz="18" w:space="8" w:color="2E74B5"/>
        </w:pBdr>
      </w:pPr>
      <w:r>
        <w:rPr>
          <w:rFonts w:ascii="Hiragino Sans GB" w:hAnsi="Hiragino Sans GB" w:eastAsia="Hiragino Sans GB"/>
          <w:b/>
          <w:color w:val="2E74B5"/>
          <w:sz w:val="22"/>
        </w:rPr>
        <w:t xml:space="preserve">指标定义  </w:t>
      </w:r>
      <w:r>
        <w:rPr>
          <w:rFonts w:ascii="Hiragino Sans GB" w:hAnsi="Hiragino Sans GB" w:eastAsia="Hiragino Sans GB"/>
          <w:color w:val="172B3A"/>
          <w:sz w:val="22"/>
        </w:rPr>
        <w:t>Bias = Residual_self − Residual_other。正值表示公司异常叙事强度高于第三方，风险随差值扩大而上升；接近0表示叙事基本一致；负值表示第三方更乐观，通常不构成公司自我误导型叙事风险。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</w:rPr>
        <w:t>文本强度必须按总词数标准化，不能使用原始关键词数量直接比较。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</w:rPr>
        <w:t>情绪只在创新或核心技术语境中计算，口径为（正面词−负面词）/（正面词+负面词）。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</w:rPr>
        <w:t>第三方样本应保留有署名、评级、风险提示或独立判断的内容，剔除公司新闻稿转载和简单复述。</w:t>
      </w:r>
    </w:p>
    <w:p>
      <w:pPr>
        <w:pStyle w:val="Heading2"/>
        <w:keepNext/>
      </w:pPr>
      <w:r>
        <w:t>2.2 企业叙事—基本面前瞻性背离</w:t>
      </w:r>
    </w:p>
    <w:p>
      <w:pPr>
        <w:keepLines/>
        <w:spacing w:before="120" w:after="200" w:line="269" w:lineRule="auto"/>
        <w:ind w:left="230" w:right="115"/>
        <w:shd w:fill="F4F6F9" w:val="clear"/>
        <w:pBdr>
          <w:left w:val="single" w:sz="18" w:space="8" w:color="2E74B5"/>
        </w:pBdr>
      </w:pPr>
      <w:r>
        <w:rPr>
          <w:rFonts w:ascii="Hiragino Sans GB" w:hAnsi="Hiragino Sans GB" w:eastAsia="Hiragino Sans GB"/>
          <w:b/>
          <w:color w:val="2E74B5"/>
          <w:sz w:val="22"/>
        </w:rPr>
        <w:t xml:space="preserve">指标定义  </w:t>
      </w:r>
      <w:r>
        <w:rPr>
          <w:rFonts w:ascii="Hiragino Sans GB" w:hAnsi="Hiragino Sans GB" w:eastAsia="Hiragino Sans GB"/>
          <w:color w:val="172B3A"/>
          <w:sz w:val="22"/>
        </w:rPr>
        <w:t>先计算相对行业情绪 RelSent，再用滚动5—8年或约20个季度的历史窗口检验乐观叙事能否预测下一期基本面。若回归系数为正且显著（p&lt;0.1），PNFDI=0；否则按当前相对情绪相对历史均值的标准差偏离计算。</w:t>
      </w:r>
    </w:p>
    <w:p>
      <w:pPr>
        <w:keepLines w:val="0"/>
        <w:spacing w:before="0" w:after="160" w:line="264" w:lineRule="auto"/>
      </w:pPr>
      <w:r>
        <w:rPr>
          <w:rFonts w:ascii="Hiragino Sans GB" w:hAnsi="Hiragino Sans GB" w:eastAsia="Hiragino Sans GB"/>
          <w:color w:val="172B3A"/>
          <w:sz w:val="22"/>
        </w:rPr>
        <w:t>因此，单期业绩增长只能证明“当前叙事有现实支撑”，不能替代前瞻性回归，更不能直接推导PNFDI为0。</w:t>
      </w:r>
    </w:p>
    <w:p>
      <w:pPr>
        <w:pStyle w:val="Heading1"/>
        <w:keepNext/>
      </w:pPr>
      <w:r>
        <w:t>三、公司自身叙事与基本面证据</w:t>
      </w:r>
    </w:p>
    <w:p>
      <w:pPr>
        <w:pStyle w:val="Heading2"/>
        <w:keepNext/>
      </w:pPr>
      <w:r>
        <w:t>3.1 公司叙事的主要方向</w:t>
      </w:r>
    </w:p>
    <w:p>
      <w:pPr>
        <w:keepLines w:val="0"/>
        <w:spacing w:before="0" w:after="120" w:line="264" w:lineRule="auto"/>
      </w:pPr>
      <w:r>
        <w:rPr>
          <w:rFonts w:ascii="Hiragino Sans GB" w:hAnsi="Hiragino Sans GB" w:eastAsia="Hiragino Sans GB"/>
          <w:color w:val="172B3A"/>
          <w:sz w:val="22"/>
        </w:rPr>
        <w:t>寒武纪在2025年年度报告及2026年半年度报告中持续强调云端智能芯片及加速卡、训练整机、软件平台与大模型适配能力。叙事重点包括金融与互联网场景规模化部署，对GLM、DeepSeek、Qwen、Kimi、MiniMax等模型的适配，以及新架构和指令集的持续研发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b/>
        </w:rPr>
        <w:t>增长叙事：</w:t>
      </w:r>
      <w:r>
        <w:rPr>
          <w:rFonts w:ascii="Hiragino Sans GB" w:hAnsi="Hiragino Sans GB" w:eastAsia="Hiragino Sans GB"/>
        </w:rPr>
        <w:t>国产智能算力需求扩张、产品落地和客户拓展构成主要正面线索。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b/>
        </w:rPr>
        <w:t>技术叙事：</w:t>
      </w:r>
      <w:r>
        <w:rPr>
          <w:rFonts w:ascii="Hiragino Sans GB" w:hAnsi="Hiragino Sans GB" w:eastAsia="Hiragino Sans GB"/>
        </w:rPr>
        <w:t>强调自主研发、架构迭代、软件生态、专利与研发人才。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  <w:b/>
        </w:rPr>
        <w:t>风险披露：</w:t>
      </w:r>
      <w:r>
        <w:rPr>
          <w:rFonts w:ascii="Hiragino Sans GB" w:hAnsi="Hiragino Sans GB" w:eastAsia="Hiragino Sans GB"/>
        </w:rPr>
        <w:t>公司同时披露供应链、实体清单、研发不确定性、竞争、毛利率、库存减值和股权激励等风险。</w:t>
      </w:r>
    </w:p>
    <w:p>
      <w:pPr>
        <w:keepLines w:val="0"/>
        <w:spacing w:before="0" w:after="80" w:line="264" w:lineRule="auto"/>
      </w:pPr>
      <w:r>
        <w:rPr>
          <w:rFonts w:ascii="Hiragino Sans GB" w:hAnsi="Hiragino Sans GB" w:eastAsia="Hiragino Sans GB"/>
          <w:color w:val="172B3A"/>
          <w:sz w:val="22"/>
        </w:rPr>
        <w:t>公司文本来源：2025年年度报告与2026年半年度报告。</w:t>
      </w:r>
      <w:hyperlink r:id="rId11">
        <w:r>
          <w:rPr>
            <w:rFonts w:ascii="Hiragino Sans GB" w:hAnsi="Hiragino Sans GB" w:eastAsia="Hiragino Sans GB"/>
            <w:color w:val="2E74B5"/>
            <w:u w:val="single"/>
            <w:sz w:val="17"/>
            <w:szCs w:val="17"/>
          </w:rPr>
          <w:t>[1]</w:t>
        </w:r>
      </w:hyperlink>
      <w:r>
        <w:t xml:space="preserve"> </w:t>
      </w:r>
      <w:hyperlink r:id="rId12">
        <w:r>
          <w:rPr>
            <w:rFonts w:ascii="Hiragino Sans GB" w:hAnsi="Hiragino Sans GB" w:eastAsia="Hiragino Sans GB"/>
            <w:color w:val="2E74B5"/>
            <w:u w:val="single"/>
            <w:sz w:val="17"/>
            <w:szCs w:val="17"/>
          </w:rPr>
          <w:t>[2]</w:t>
        </w:r>
      </w:hyperlink>
    </w:p>
    <w:p>
      <w:pPr>
        <w:pStyle w:val="Heading2"/>
        <w:keepNext/>
      </w:pPr>
      <w:r>
        <w:t>3.2 2026年上半年关键基本面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A"/>
          <w:left w:val="single" w:sz="6" w:space="0" w:color="CBD3DA"/>
          <w:bottom w:val="single" w:sz="6" w:space="0" w:color="CBD3DA"/>
          <w:right w:val="single" w:sz="6" w:space="0" w:color="CBD3DA"/>
          <w:insideH w:val="single" w:sz="6" w:space="0" w:color="CBD3DA"/>
          <w:insideV w:val="single" w:sz="6" w:space="0" w:color="CBD3DA"/>
        </w:tblBorders>
      </w:tblPr>
      <w:tblGrid>
        <w:gridCol w:w="2040"/>
        <w:gridCol w:w="1540"/>
        <w:gridCol w:w="1880"/>
        <w:gridCol w:w="3900"/>
      </w:tblGrid>
      <w:tr>
        <w:trPr>
          <w:cantSplit/>
          <w:tblHeader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项目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2026H1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同比/期末变化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叙事含义</w:t>
            </w:r>
          </w:p>
        </w:tc>
      </w:tr>
      <w:tr>
        <w:tc>
          <w:tcPr>
            <w:tcW w:type="dxa" w:w="20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营业收入</w:t>
            </w:r>
          </w:p>
        </w:tc>
        <w:tc>
          <w:tcPr>
            <w:tcW w:type="dxa" w:w="154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59.96亿元</w:t>
            </w:r>
          </w:p>
        </w:tc>
        <w:tc>
          <w:tcPr>
            <w:tcW w:type="dxa" w:w="18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+108.13%</w:t>
            </w:r>
          </w:p>
        </w:tc>
        <w:tc>
          <w:tcPr>
            <w:tcW w:type="dxa" w:w="390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高速增长，支持当期乐观叙事</w:t>
            </w:r>
          </w:p>
        </w:tc>
      </w:tr>
      <w:tr>
        <w:tc>
          <w:tcPr>
            <w:tcW w:type="dxa" w:w="20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归母净利润</w:t>
            </w:r>
          </w:p>
        </w:tc>
        <w:tc>
          <w:tcPr>
            <w:tcW w:type="dxa" w:w="154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23.11亿元</w:t>
            </w:r>
          </w:p>
        </w:tc>
        <w:tc>
          <w:tcPr>
            <w:tcW w:type="dxa" w:w="18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+122.61%</w:t>
            </w:r>
          </w:p>
        </w:tc>
        <w:tc>
          <w:tcPr>
            <w:tcW w:type="dxa" w:w="390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盈利改善显著</w:t>
            </w:r>
          </w:p>
        </w:tc>
      </w:tr>
      <w:tr>
        <w:tc>
          <w:tcPr>
            <w:tcW w:type="dxa" w:w="20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扣非归母净利润</w:t>
            </w:r>
          </w:p>
        </w:tc>
        <w:tc>
          <w:tcPr>
            <w:tcW w:type="dxa" w:w="154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21.66亿元</w:t>
            </w:r>
          </w:p>
        </w:tc>
        <w:tc>
          <w:tcPr>
            <w:tcW w:type="dxa" w:w="18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+137.30%</w:t>
            </w:r>
          </w:p>
        </w:tc>
        <w:tc>
          <w:tcPr>
            <w:tcW w:type="dxa" w:w="390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主营盈利质量同步改善</w:t>
            </w:r>
          </w:p>
        </w:tc>
      </w:tr>
      <w:tr>
        <w:tc>
          <w:tcPr>
            <w:tcW w:type="dxa" w:w="20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经营活动现金流净额</w:t>
            </w:r>
          </w:p>
        </w:tc>
        <w:tc>
          <w:tcPr>
            <w:tcW w:type="dxa" w:w="154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3.11亿元</w:t>
            </w:r>
          </w:p>
        </w:tc>
        <w:tc>
          <w:tcPr>
            <w:tcW w:type="dxa" w:w="18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−65.83%</w:t>
            </w:r>
          </w:p>
        </w:tc>
        <w:tc>
          <w:tcPr>
            <w:tcW w:type="dxa" w:w="390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与利润增长不同步，需关注现金转化</w:t>
            </w:r>
          </w:p>
        </w:tc>
      </w:tr>
      <w:tr>
        <w:tc>
          <w:tcPr>
            <w:tcW w:type="dxa" w:w="20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研发投入</w:t>
            </w:r>
          </w:p>
        </w:tc>
        <w:tc>
          <w:tcPr>
            <w:tcW w:type="dxa" w:w="154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7.03亿元</w:t>
            </w:r>
          </w:p>
        </w:tc>
        <w:tc>
          <w:tcPr>
            <w:tcW w:type="dxa" w:w="18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+29.63%</w:t>
            </w:r>
          </w:p>
        </w:tc>
        <w:tc>
          <w:tcPr>
            <w:tcW w:type="dxa" w:w="390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研发持续增加；占收入比降至11.72%</w:t>
            </w:r>
          </w:p>
        </w:tc>
      </w:tr>
      <w:tr>
        <w:tc>
          <w:tcPr>
            <w:tcW w:type="dxa" w:w="20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存货</w:t>
            </w:r>
          </w:p>
        </w:tc>
        <w:tc>
          <w:tcPr>
            <w:tcW w:type="dxa" w:w="154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82.48亿元</w:t>
            </w:r>
          </w:p>
        </w:tc>
        <w:tc>
          <w:tcPr>
            <w:tcW w:type="dxa" w:w="18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较年末+66.83%</w:t>
            </w:r>
          </w:p>
        </w:tc>
        <w:tc>
          <w:tcPr>
            <w:tcW w:type="dxa" w:w="390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占总资产45.32%，存在转化与减值压力</w:t>
            </w:r>
          </w:p>
        </w:tc>
      </w:tr>
      <w:tr>
        <w:tc>
          <w:tcPr>
            <w:tcW w:type="dxa" w:w="20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预付款项</w:t>
            </w:r>
          </w:p>
        </w:tc>
        <w:tc>
          <w:tcPr>
            <w:tcW w:type="dxa" w:w="154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29.14亿元</w:t>
            </w:r>
          </w:p>
        </w:tc>
        <w:tc>
          <w:tcPr>
            <w:tcW w:type="dxa" w:w="18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+291.37%</w:t>
            </w:r>
          </w:p>
        </w:tc>
        <w:tc>
          <w:tcPr>
            <w:tcW w:type="dxa" w:w="390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反映备货与供应保障投入，也抬高资金占用</w:t>
            </w:r>
          </w:p>
        </w:tc>
      </w:tr>
    </w:tbl>
    <w:p>
      <w:pPr>
        <w:spacing w:before="80" w:after="80"/>
      </w:pPr>
    </w:p>
    <w:p>
      <w:pPr>
        <w:keepLines w:val="0"/>
        <w:spacing w:before="0" w:after="120" w:line="264" w:lineRule="auto"/>
      </w:pPr>
      <w:r>
        <w:rPr>
          <w:rFonts w:ascii="Hiragino Sans GB" w:hAnsi="Hiragino Sans GB" w:eastAsia="Hiragino Sans GB"/>
          <w:color w:val="172B3A"/>
          <w:sz w:val="22"/>
        </w:rPr>
        <w:t>数据来源：寒武纪2026年半年度报告。</w:t>
      </w:r>
      <w:hyperlink r:id="rId12">
        <w:r>
          <w:rPr>
            <w:rFonts w:ascii="Hiragino Sans GB" w:hAnsi="Hiragino Sans GB" w:eastAsia="Hiragino Sans GB"/>
            <w:color w:val="2E74B5"/>
            <w:u w:val="single"/>
            <w:sz w:val="17"/>
            <w:szCs w:val="17"/>
          </w:rPr>
          <w:t>[2]</w:t>
        </w:r>
      </w:hyperlink>
    </w:p>
    <w:p>
      <w:pPr>
        <w:keepLines/>
        <w:spacing w:before="120" w:after="200" w:line="269" w:lineRule="auto"/>
        <w:ind w:left="230" w:right="115"/>
        <w:shd w:fill="FFF4D6" w:val="clear"/>
        <w:pBdr>
          <w:left w:val="single" w:sz="18" w:space="8" w:color="7A5A00"/>
        </w:pBdr>
      </w:pPr>
      <w:r>
        <w:rPr>
          <w:rFonts w:ascii="Hiragino Sans GB" w:hAnsi="Hiragino Sans GB" w:eastAsia="Hiragino Sans GB"/>
          <w:b/>
          <w:color w:val="7A5A00"/>
          <w:sz w:val="22"/>
        </w:rPr>
        <w:t xml:space="preserve">基本面解释  </w:t>
      </w:r>
      <w:r>
        <w:rPr>
          <w:rFonts w:ascii="Hiragino Sans GB" w:hAnsi="Hiragino Sans GB" w:eastAsia="Hiragino Sans GB"/>
          <w:color w:val="172B3A"/>
          <w:sz w:val="22"/>
        </w:rPr>
        <w:t>收入和利润显著增长，说明当前正面叙事并非脱离现实；但现金流下降、存货和预付款快速上升，意味着业绩兑现仍依赖交付、客户回款、存货周转与供应保障。</w:t>
      </w:r>
    </w:p>
    <w:p>
      <w:pPr>
        <w:pStyle w:val="Heading1"/>
        <w:keepNext/>
      </w:pPr>
      <w:r>
        <w:t>四、第三方叙事证据</w:t>
      </w:r>
    </w:p>
    <w:p>
      <w:pPr>
        <w:keepLines w:val="0"/>
        <w:spacing w:before="0" w:after="120" w:line="264" w:lineRule="auto"/>
      </w:pPr>
      <w:r>
        <w:rPr>
          <w:rFonts w:ascii="Hiragino Sans GB" w:hAnsi="Hiragino Sans GB" w:eastAsia="Hiragino Sans GB"/>
          <w:color w:val="172B3A"/>
          <w:sz w:val="22"/>
        </w:rPr>
        <w:t>当前纳入的第三方样本以具有署名、独立观点或明确风险提示的报道和券商研报为主。仅复述公司公告的新闻虽然可以保留为覆盖记录，但不应作为第三方异常叙事强度的主要样本。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A"/>
          <w:left w:val="single" w:sz="6" w:space="0" w:color="CBD3DA"/>
          <w:bottom w:val="single" w:sz="6" w:space="0" w:color="CBD3DA"/>
          <w:right w:val="single" w:sz="6" w:space="0" w:color="CBD3DA"/>
          <w:insideH w:val="single" w:sz="6" w:space="0" w:color="CBD3DA"/>
          <w:insideV w:val="single" w:sz="6" w:space="0" w:color="CBD3DA"/>
        </w:tblBorders>
      </w:tblPr>
      <w:tblGrid>
        <w:gridCol w:w="1660"/>
        <w:gridCol w:w="1180"/>
        <w:gridCol w:w="1280"/>
        <w:gridCol w:w="3860"/>
        <w:gridCol w:w="1380"/>
      </w:tblGrid>
      <w:tr>
        <w:trPr>
          <w:cantSplit/>
          <w:tblHeader w:val="true"/>
        </w:trPr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来源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日期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倾向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独立信息增量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处理</w:t>
            </w:r>
          </w:p>
        </w:tc>
      </w:tr>
      <w:tr>
        <w:tc>
          <w:tcPr>
            <w:tcW w:type="dxa" w:w="16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36氪 / AIX财经</w:t>
            </w:r>
          </w:p>
        </w:tc>
        <w:tc>
          <w:tcPr>
            <w:tcW w:type="dxa" w:w="11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2026-08-25</w:t>
            </w:r>
          </w:p>
        </w:tc>
        <w:tc>
          <w:tcPr>
            <w:tcW w:type="dxa" w:w="12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偏正面、附强约束</w:t>
            </w:r>
          </w:p>
        </w:tc>
        <w:tc>
          <w:tcPr>
            <w:tcW w:type="dxa" w:w="38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关注库存、预付款、供应商集中、现金流、估值及下半年交付</w:t>
            </w:r>
          </w:p>
        </w:tc>
        <w:tc>
          <w:tcPr>
            <w:tcW w:type="dxa" w:w="13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纳入，高权重</w:t>
            </w:r>
          </w:p>
        </w:tc>
      </w:tr>
      <w:tr>
        <w:tc>
          <w:tcPr>
            <w:tcW w:type="dxa" w:w="16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产业科技连线 / ZAKER</w:t>
            </w:r>
          </w:p>
        </w:tc>
        <w:tc>
          <w:tcPr>
            <w:tcW w:type="dxa" w:w="11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2026-08-08</w:t>
            </w:r>
          </w:p>
        </w:tc>
        <w:tc>
          <w:tcPr>
            <w:tcW w:type="dxa" w:w="12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审慎</w:t>
            </w:r>
          </w:p>
        </w:tc>
        <w:tc>
          <w:tcPr>
            <w:tcW w:type="dxa" w:w="38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关注高估值、库存、预付款、实体清单与三年目标兑现</w:t>
            </w:r>
          </w:p>
        </w:tc>
        <w:tc>
          <w:tcPr>
            <w:tcW w:type="dxa" w:w="13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纳入，中高权重</w:t>
            </w:r>
          </w:p>
        </w:tc>
      </w:tr>
      <w:tr>
        <w:tc>
          <w:tcPr>
            <w:tcW w:type="dxa" w:w="16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国海证券</w:t>
            </w:r>
          </w:p>
        </w:tc>
        <w:tc>
          <w:tcPr>
            <w:tcW w:type="dxa" w:w="11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2026-08-11</w:t>
            </w:r>
          </w:p>
        </w:tc>
        <w:tc>
          <w:tcPr>
            <w:tcW w:type="dxa" w:w="12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买入</w:t>
            </w:r>
          </w:p>
        </w:tc>
        <w:tc>
          <w:tcPr>
            <w:tcW w:type="dxa" w:w="38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上调盈利预期，同时提示需求、技术路线、竞争、研发、估值和客户集中风险</w:t>
            </w:r>
          </w:p>
        </w:tc>
        <w:tc>
          <w:tcPr>
            <w:tcW w:type="dxa" w:w="13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纳入，券商样本</w:t>
            </w:r>
          </w:p>
        </w:tc>
      </w:tr>
      <w:tr>
        <w:tc>
          <w:tcPr>
            <w:tcW w:type="dxa" w:w="16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国联民生证券</w:t>
            </w:r>
          </w:p>
        </w:tc>
        <w:tc>
          <w:tcPr>
            <w:tcW w:type="dxa" w:w="11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2026-08-10</w:t>
            </w:r>
          </w:p>
        </w:tc>
        <w:tc>
          <w:tcPr>
            <w:tcW w:type="dxa" w:w="12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推荐</w:t>
            </w:r>
          </w:p>
        </w:tc>
        <w:tc>
          <w:tcPr>
            <w:tcW w:type="dxa" w:w="38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给出增长预测，同时提示政策、AI技术路线和竞争风险</w:t>
            </w:r>
          </w:p>
        </w:tc>
        <w:tc>
          <w:tcPr>
            <w:tcW w:type="dxa" w:w="13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纳入，券商样本</w:t>
            </w:r>
          </w:p>
        </w:tc>
      </w:tr>
      <w:tr>
        <w:tc>
          <w:tcPr>
            <w:tcW w:type="dxa" w:w="16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每日经济新闻转载页</w:t>
            </w:r>
          </w:p>
        </w:tc>
        <w:tc>
          <w:tcPr>
            <w:tcW w:type="dxa" w:w="11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2026-08-07</w:t>
            </w:r>
          </w:p>
        </w:tc>
        <w:tc>
          <w:tcPr>
            <w:tcW w:type="dxa" w:w="12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偏正面</w:t>
            </w:r>
          </w:p>
        </w:tc>
        <w:tc>
          <w:tcPr>
            <w:tcW w:type="dxa" w:w="38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主要复述中报与模型适配，独立分析较弱</w:t>
            </w:r>
          </w:p>
        </w:tc>
        <w:tc>
          <w:tcPr>
            <w:tcW w:type="dxa" w:w="13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剔除或低权重</w:t>
            </w:r>
          </w:p>
        </w:tc>
      </w:tr>
      <w:tr>
        <w:tc>
          <w:tcPr>
            <w:tcW w:type="dxa" w:w="16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华尔街见闻</w:t>
            </w:r>
          </w:p>
        </w:tc>
        <w:tc>
          <w:tcPr>
            <w:tcW w:type="dxa" w:w="11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2025-08-28</w:t>
            </w:r>
          </w:p>
        </w:tc>
        <w:tc>
          <w:tcPr>
            <w:tcW w:type="dxa" w:w="12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风险警示</w:t>
            </w:r>
          </w:p>
        </w:tc>
        <w:tc>
          <w:tcPr>
            <w:tcW w:type="dxa" w:w="38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历史样本：关注股价与基本面背离、供应风险及极端估值</w:t>
            </w:r>
          </w:p>
        </w:tc>
        <w:tc>
          <w:tcPr>
            <w:tcW w:type="dxa" w:w="138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纳入历史窗口</w:t>
            </w:r>
          </w:p>
        </w:tc>
      </w:tr>
    </w:tbl>
    <w:p>
      <w:pPr>
        <w:spacing w:before="80" w:after="80"/>
      </w:pPr>
    </w:p>
    <w:p>
      <w:pPr>
        <w:keepLines w:val="0"/>
        <w:spacing w:before="0" w:after="160" w:line="264" w:lineRule="auto"/>
      </w:pPr>
      <w:r>
        <w:rPr>
          <w:rFonts w:ascii="Hiragino Sans GB" w:hAnsi="Hiragino Sans GB" w:eastAsia="Hiragino Sans GB"/>
          <w:color w:val="172B3A"/>
          <w:sz w:val="22"/>
        </w:rPr>
        <w:t>相关来源见附录：</w:t>
      </w:r>
      <w:hyperlink r:id="rId13">
        <w:r>
          <w:rPr>
            <w:rFonts w:ascii="Hiragino Sans GB" w:hAnsi="Hiragino Sans GB" w:eastAsia="Hiragino Sans GB"/>
            <w:color w:val="2E74B5"/>
            <w:u w:val="single"/>
            <w:sz w:val="17"/>
            <w:szCs w:val="17"/>
          </w:rPr>
          <w:t>[3]</w:t>
        </w:r>
      </w:hyperlink>
      <w:r>
        <w:t xml:space="preserve"> </w:t>
      </w:r>
      <w:hyperlink r:id="rId14">
        <w:r>
          <w:rPr>
            <w:rFonts w:ascii="Hiragino Sans GB" w:hAnsi="Hiragino Sans GB" w:eastAsia="Hiragino Sans GB"/>
            <w:color w:val="2E74B5"/>
            <w:u w:val="single"/>
            <w:sz w:val="17"/>
            <w:szCs w:val="17"/>
          </w:rPr>
          <w:t>[4]</w:t>
        </w:r>
      </w:hyperlink>
      <w:r>
        <w:t xml:space="preserve"> </w:t>
      </w:r>
      <w:hyperlink r:id="rId15">
        <w:r>
          <w:rPr>
            <w:rFonts w:ascii="Hiragino Sans GB" w:hAnsi="Hiragino Sans GB" w:eastAsia="Hiragino Sans GB"/>
            <w:color w:val="2E74B5"/>
            <w:u w:val="single"/>
            <w:sz w:val="17"/>
            <w:szCs w:val="17"/>
          </w:rPr>
          <w:t>[5]</w:t>
        </w:r>
      </w:hyperlink>
      <w:r>
        <w:t xml:space="preserve"> </w:t>
      </w:r>
      <w:hyperlink r:id="rId16">
        <w:r>
          <w:rPr>
            <w:rFonts w:ascii="Hiragino Sans GB" w:hAnsi="Hiragino Sans GB" w:eastAsia="Hiragino Sans GB"/>
            <w:color w:val="2E74B5"/>
            <w:u w:val="single"/>
            <w:sz w:val="17"/>
            <w:szCs w:val="17"/>
          </w:rPr>
          <w:t>[6]</w:t>
        </w:r>
      </w:hyperlink>
      <w:r>
        <w:t xml:space="preserve"> </w:t>
      </w:r>
      <w:hyperlink r:id="rId17">
        <w:r>
          <w:rPr>
            <w:rFonts w:ascii="Hiragino Sans GB" w:hAnsi="Hiragino Sans GB" w:eastAsia="Hiragino Sans GB"/>
            <w:color w:val="2E74B5"/>
            <w:u w:val="single"/>
            <w:sz w:val="17"/>
            <w:szCs w:val="17"/>
          </w:rPr>
          <w:t>[7]</w:t>
        </w:r>
      </w:hyperlink>
      <w:r>
        <w:t xml:space="preserve"> </w:t>
      </w:r>
      <w:hyperlink r:id="rId18">
        <w:r>
          <w:rPr>
            <w:rFonts w:ascii="Hiragino Sans GB" w:hAnsi="Hiragino Sans GB" w:eastAsia="Hiragino Sans GB"/>
            <w:color w:val="2E74B5"/>
            <w:u w:val="single"/>
            <w:sz w:val="17"/>
            <w:szCs w:val="17"/>
          </w:rPr>
          <w:t>[8]</w:t>
        </w:r>
      </w:hyperlink>
      <w:r>
        <w:t xml:space="preserve"> </w:t>
      </w:r>
    </w:p>
    <w:p>
      <w:pPr>
        <w:pStyle w:val="Heading2"/>
        <w:keepNext/>
      </w:pPr>
      <w:r>
        <w:t>4.1 第三方叙事的共同点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</w:rPr>
        <w:t>认可业绩增长和国产算力需求，但未把增长直接等同于风险消失。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</w:rPr>
        <w:t>媒体更关注存货转化、预付款、现金流和下半年交付，构成对公司增长叙事的现实约束。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</w:rPr>
        <w:t>券商维持积极评级，但风险提示集中于竞争、技术路线、供应链、客户集中与估值回撤。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Hiragino Sans GB" w:hAnsi="Hiragino Sans GB" w:eastAsia="Hiragino Sans GB"/>
        </w:rPr>
        <w:t>第三方并未出现明显一致唱空；总体是“方向乐观、条件审慎”。</w:t>
      </w:r>
    </w:p>
    <w:p>
      <w:pPr>
        <w:pStyle w:val="Heading1"/>
        <w:keepNext/>
      </w:pPr>
      <w:r>
        <w:t>五、两项叙事指标的初步判定</w:t>
      </w:r>
    </w:p>
    <w:p>
      <w:pPr>
        <w:pStyle w:val="Heading2"/>
        <w:keepNext/>
      </w:pPr>
      <w:r>
        <w:t>5.1 自身—第三方叙事偏差</w:t>
      </w:r>
    </w:p>
    <w:p>
      <w:pPr>
        <w:keepLines/>
        <w:spacing w:before="120" w:after="200" w:line="269" w:lineRule="auto"/>
        <w:ind w:left="230" w:right="115"/>
        <w:shd w:fill="EAF4EC" w:val="clear"/>
        <w:pBdr>
          <w:left w:val="single" w:sz="18" w:space="8" w:color="1F5E3B"/>
        </w:pBdr>
      </w:pPr>
      <w:r>
        <w:rPr>
          <w:rFonts w:ascii="Hiragino Sans GB" w:hAnsi="Hiragino Sans GB" w:eastAsia="Hiragino Sans GB"/>
          <w:b/>
          <w:color w:val="1F5E3B"/>
          <w:sz w:val="22"/>
        </w:rPr>
        <w:t xml:space="preserve">初步判定：暂未发现明显高风险信号｜置信度：低  </w:t>
      </w:r>
      <w:r>
        <w:rPr>
          <w:rFonts w:ascii="Hiragino Sans GB" w:hAnsi="Hiragino Sans GB" w:eastAsia="Hiragino Sans GB"/>
          <w:color w:val="172B3A"/>
          <w:sz w:val="22"/>
        </w:rPr>
        <w:t>公司叙事积极，但风险披露较完整；有效第三方样本同样认可增长，只是更强调交付、现金转化、供应链和估值。因此，当前证据更接近“基本一致”，尚不足以判断Residual_self显著高于Residual_other。</w:t>
      </w:r>
    </w:p>
    <w:p>
      <w:pPr>
        <w:keepLines w:val="0"/>
        <w:spacing w:before="0" w:after="120" w:line="264" w:lineRule="auto"/>
      </w:pPr>
      <w:r>
        <w:rPr>
          <w:rFonts w:ascii="Hiragino Sans GB" w:hAnsi="Hiragino Sans GB" w:eastAsia="Hiragino Sans GB"/>
          <w:color w:val="172B3A"/>
          <w:sz w:val="22"/>
        </w:rPr>
        <w:t>不能形成正式数值的原因：尚未建立完整同行语料库，未按统一词典计算公司与第三方的关键词密度和创新语境情绪，也未控制规模、ROA、研发强度、成长性、杠杆及年度/行业固定效应。</w:t>
      </w:r>
    </w:p>
    <w:p>
      <w:pPr>
        <w:pStyle w:val="Heading2"/>
        <w:keepNext/>
      </w:pPr>
      <w:r>
        <w:t>5.2 前瞻性叙事背离 PNFDI</w:t>
      </w:r>
    </w:p>
    <w:p>
      <w:pPr>
        <w:keepLines/>
        <w:spacing w:before="120" w:after="200" w:line="269" w:lineRule="auto"/>
        <w:ind w:left="230" w:right="115"/>
        <w:shd w:fill="FFF4D6" w:val="clear"/>
        <w:pBdr>
          <w:left w:val="single" w:sz="18" w:space="8" w:color="7A5A00"/>
        </w:pBdr>
      </w:pPr>
      <w:r>
        <w:rPr>
          <w:rFonts w:ascii="Hiragino Sans GB" w:hAnsi="Hiragino Sans GB" w:eastAsia="Hiragino Sans GB"/>
          <w:b/>
          <w:color w:val="7A5A00"/>
          <w:sz w:val="22"/>
        </w:rPr>
        <w:t xml:space="preserve">初步判定：待验证｜当前期支撑较强，前瞻兑现未决  </w:t>
      </w:r>
      <w:r>
        <w:rPr>
          <w:rFonts w:ascii="Hiragino Sans GB" w:hAnsi="Hiragino Sans GB" w:eastAsia="Hiragino Sans GB"/>
          <w:color w:val="172B3A"/>
          <w:sz w:val="22"/>
        </w:rPr>
        <w:t>2026年上半年收入和利润增长支持公司当前乐观叙事；但年度及三年业绩目标、存货变现、下一代产品竞争力、供应保障和持续交付仍需后续季度验证。当前不能据此认定历史回归系数显著为正。</w:t>
      </w:r>
    </w:p>
    <w:p>
      <w:pPr>
        <w:keepLines w:val="0"/>
        <w:spacing w:before="0" w:after="120" w:line="264" w:lineRule="auto"/>
      </w:pPr>
      <w:r>
        <w:rPr>
          <w:rFonts w:ascii="Hiragino Sans GB" w:hAnsi="Hiragino Sans GB" w:eastAsia="Hiragino Sans GB"/>
          <w:color w:val="172B3A"/>
          <w:sz w:val="22"/>
        </w:rPr>
        <w:t>独立媒体整理的激励目标包括2026年约135亿元收入及后续累计目标。目标本身属于前瞻性叙事，不是已实现基本面，应在2026年下半年及2027年财务数据披露后持续核验。</w:t>
      </w:r>
    </w:p>
    <w:p>
      <w:pPr>
        <w:pStyle w:val="Heading2"/>
        <w:keepNext/>
      </w:pPr>
      <w:r>
        <w:t>5.3 平台现有新闻代理指标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A"/>
          <w:left w:val="single" w:sz="6" w:space="0" w:color="CBD3DA"/>
          <w:bottom w:val="single" w:sz="6" w:space="0" w:color="CBD3DA"/>
          <w:right w:val="single" w:sz="6" w:space="0" w:color="CBD3DA"/>
          <w:insideH w:val="single" w:sz="6" w:space="0" w:color="CBD3DA"/>
          <w:insideV w:val="single" w:sz="6" w:space="0" w:color="CBD3DA"/>
        </w:tblBorders>
      </w:tblPr>
      <w:tblGrid>
        <w:gridCol w:w="2300"/>
        <w:gridCol w:w="2000"/>
        <w:gridCol w:w="5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代理项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当前值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解释限制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检索记录</w:t>
            </w:r>
          </w:p>
        </w:tc>
        <w:tc>
          <w:tcPr>
            <w:tcW w:type="dxa" w:w="200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250条</w:t>
            </w:r>
          </w:p>
        </w:tc>
        <w:tc>
          <w:tcPr>
            <w:tcW w:type="dxa" w:w="50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达到截断上限，不能视为全量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正面命中</w:t>
            </w:r>
          </w:p>
        </w:tc>
        <w:tc>
          <w:tcPr>
            <w:tcW w:type="dxa" w:w="200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132条 / 52.8%</w:t>
            </w:r>
          </w:p>
        </w:tc>
        <w:tc>
          <w:tcPr>
            <w:tcW w:type="dxa" w:w="50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基于标题与摘要的关键词代理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负面命中</w:t>
            </w:r>
          </w:p>
        </w:tc>
        <w:tc>
          <w:tcPr>
            <w:tcW w:type="dxa" w:w="200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28条 / 11.2%</w:t>
            </w:r>
          </w:p>
        </w:tc>
        <w:tc>
          <w:tcPr>
            <w:tcW w:type="dxa" w:w="50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与正面、概念类可能重叠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概念命中</w:t>
            </w:r>
          </w:p>
        </w:tc>
        <w:tc>
          <w:tcPr>
            <w:tcW w:type="dxa" w:w="200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151条 / 60.4%</w:t>
            </w:r>
          </w:p>
        </w:tc>
        <w:tc>
          <w:tcPr>
            <w:tcW w:type="dxa" w:w="50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反映主题热度，不等于风险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正负平衡</w:t>
            </w:r>
          </w:p>
        </w:tc>
        <w:tc>
          <w:tcPr>
            <w:tcW w:type="dxa" w:w="200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+41.6个百分点</w:t>
            </w:r>
          </w:p>
        </w:tc>
        <w:tc>
          <w:tcPr>
            <w:tcW w:type="dxa" w:w="506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（132−28）/250，仅为旧口径观察值</w:t>
            </w:r>
          </w:p>
        </w:tc>
      </w:tr>
    </w:tbl>
    <w:p>
      <w:pPr>
        <w:spacing w:before="80" w:after="80"/>
      </w:pPr>
    </w:p>
    <w:p>
      <w:pPr>
        <w:keepLines/>
        <w:spacing w:before="120" w:after="200" w:line="269" w:lineRule="auto"/>
        <w:ind w:left="230" w:right="115"/>
        <w:shd w:fill="FDECEC" w:val="clear"/>
        <w:pBdr>
          <w:left w:val="single" w:sz="18" w:space="8" w:color="9B1C1C"/>
        </w:pBdr>
      </w:pPr>
      <w:r>
        <w:rPr>
          <w:rFonts w:ascii="Hiragino Sans GB" w:hAnsi="Hiragino Sans GB" w:eastAsia="Hiragino Sans GB"/>
          <w:b/>
          <w:color w:val="9B1C1C"/>
          <w:sz w:val="22"/>
        </w:rPr>
        <w:t xml:space="preserve">使用边界  </w:t>
      </w:r>
      <w:r>
        <w:rPr>
          <w:rFonts w:ascii="Hiragino Sans GB" w:hAnsi="Hiragino Sans GB" w:eastAsia="Hiragino Sans GB"/>
          <w:color w:val="172B3A"/>
          <w:sz w:val="22"/>
        </w:rPr>
        <w:t>该代理值来自现有平台的标题/摘要关键词命中，不符合新标准的全文密度、创新语境情绪、独立来源筛选和回归残差要求。它只能用于覆盖监控和异常提示，不能替代两项正式指标。</w:t>
      </w:r>
    </w:p>
    <w:p>
      <w:pPr>
        <w:pStyle w:val="Heading1"/>
        <w:keepNext/>
      </w:pPr>
      <w:r>
        <w:t>六、需要持续验证的风险线索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A"/>
          <w:left w:val="single" w:sz="6" w:space="0" w:color="CBD3DA"/>
          <w:bottom w:val="single" w:sz="6" w:space="0" w:color="CBD3DA"/>
          <w:right w:val="single" w:sz="6" w:space="0" w:color="CBD3DA"/>
          <w:insideH w:val="single" w:sz="6" w:space="0" w:color="CBD3DA"/>
          <w:insideV w:val="single" w:sz="6" w:space="0" w:color="CBD3DA"/>
        </w:tblBorders>
      </w:tblPr>
      <w:tblGrid>
        <w:gridCol w:w="1640"/>
        <w:gridCol w:w="960"/>
        <w:gridCol w:w="3480"/>
        <w:gridCol w:w="3280"/>
      </w:tblGrid>
      <w:tr>
        <w:trPr>
          <w:cantSplit/>
          <w:tblHeader w:val="true"/>
        </w:trPr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风险线索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关注度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当前证据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72B3A"/>
                <w:sz w:val="18"/>
              </w:rPr>
              <w:t>后续验证变量</w:t>
            </w:r>
          </w:p>
        </w:tc>
      </w:tr>
      <w:tr>
        <w:tc>
          <w:tcPr>
            <w:tcW w:type="dxa" w:w="16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交付与收入目标</w:t>
            </w:r>
          </w:p>
        </w:tc>
        <w:tc>
          <w:tcPr>
            <w:tcW w:type="dxa" w:w="96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中</w:t>
            </w:r>
          </w:p>
        </w:tc>
        <w:tc>
          <w:tcPr>
            <w:tcW w:type="dxa" w:w="34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下半年交付节奏、全年收入与三年累计目标</w:t>
            </w:r>
          </w:p>
        </w:tc>
        <w:tc>
          <w:tcPr>
            <w:tcW w:type="dxa" w:w="32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季度收入、合同负债、订单及管理层指引</w:t>
            </w:r>
          </w:p>
        </w:tc>
      </w:tr>
      <w:tr>
        <w:tc>
          <w:tcPr>
            <w:tcW w:type="dxa" w:w="16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存货与减值</w:t>
            </w:r>
          </w:p>
        </w:tc>
        <w:tc>
          <w:tcPr>
            <w:tcW w:type="dxa" w:w="96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中高</w:t>
            </w:r>
          </w:p>
        </w:tc>
        <w:tc>
          <w:tcPr>
            <w:tcW w:type="dxa" w:w="34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存货82.48亿元且快速增长，原材料和委托加工占比较高</w:t>
            </w:r>
          </w:p>
        </w:tc>
        <w:tc>
          <w:tcPr>
            <w:tcW w:type="dxa" w:w="32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周转天数、存货结构、跌价准备及产品迭代</w:t>
            </w:r>
          </w:p>
        </w:tc>
      </w:tr>
      <w:tr>
        <w:tc>
          <w:tcPr>
            <w:tcW w:type="dxa" w:w="16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现金转化</w:t>
            </w:r>
          </w:p>
        </w:tc>
        <w:tc>
          <w:tcPr>
            <w:tcW w:type="dxa" w:w="96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中</w:t>
            </w:r>
          </w:p>
        </w:tc>
        <w:tc>
          <w:tcPr>
            <w:tcW w:type="dxa" w:w="34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经营现金流同比下降，与利润增速不同步</w:t>
            </w:r>
          </w:p>
        </w:tc>
        <w:tc>
          <w:tcPr>
            <w:tcW w:type="dxa" w:w="32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回款、应收、经营现金流/净利润</w:t>
            </w:r>
          </w:p>
        </w:tc>
      </w:tr>
      <w:tr>
        <w:tc>
          <w:tcPr>
            <w:tcW w:type="dxa" w:w="16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供应链与集中度</w:t>
            </w:r>
          </w:p>
        </w:tc>
        <w:tc>
          <w:tcPr>
            <w:tcW w:type="dxa" w:w="96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中高</w:t>
            </w:r>
          </w:p>
        </w:tc>
        <w:tc>
          <w:tcPr>
            <w:tcW w:type="dxa" w:w="34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实体清单、先进制程及关键供应商集中</w:t>
            </w:r>
          </w:p>
        </w:tc>
        <w:tc>
          <w:tcPr>
            <w:tcW w:type="dxa" w:w="32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前五大供应商、预付款去向、产能保障</w:t>
            </w:r>
          </w:p>
        </w:tc>
      </w:tr>
      <w:tr>
        <w:tc>
          <w:tcPr>
            <w:tcW w:type="dxa" w:w="16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竞争与技术路线</w:t>
            </w:r>
          </w:p>
        </w:tc>
        <w:tc>
          <w:tcPr>
            <w:tcW w:type="dxa" w:w="96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中</w:t>
            </w:r>
          </w:p>
        </w:tc>
        <w:tc>
          <w:tcPr>
            <w:tcW w:type="dxa" w:w="34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NVIDIA主导市场，国内外产品迭代加快</w:t>
            </w:r>
          </w:p>
        </w:tc>
        <w:tc>
          <w:tcPr>
            <w:tcW w:type="dxa" w:w="32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新品性能、生态兼容、客户复购和毛利率</w:t>
            </w:r>
          </w:p>
        </w:tc>
      </w:tr>
      <w:tr>
        <w:tc>
          <w:tcPr>
            <w:tcW w:type="dxa" w:w="164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估值约束</w:t>
            </w:r>
          </w:p>
        </w:tc>
        <w:tc>
          <w:tcPr>
            <w:tcW w:type="dxa" w:w="960"/>
          </w:tcPr>
          <w:p>
            <w:pPr>
              <w:spacing w:before="0" w:after="4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中高</w:t>
            </w:r>
          </w:p>
        </w:tc>
        <w:tc>
          <w:tcPr>
            <w:tcW w:type="dxa" w:w="34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第三方多次提示高估值及目标价分歧</w:t>
            </w:r>
          </w:p>
        </w:tc>
        <w:tc>
          <w:tcPr>
            <w:tcW w:type="dxa" w:w="3280"/>
          </w:tcPr>
          <w:p>
            <w:pPr>
              <w:spacing w:before="0" w:after="4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7"/>
              </w:rPr>
              <w:t>远期PE、盈利预测下修与价格波动</w:t>
            </w:r>
          </w:p>
        </w:tc>
      </w:tr>
    </w:tbl>
    <w:p>
      <w:pPr>
        <w:spacing w:before="80" w:after="80"/>
      </w:pPr>
    </w:p>
    <w:p>
      <w:pPr>
        <w:pStyle w:val="Heading1"/>
        <w:keepNext/>
      </w:pPr>
      <w:r>
        <w:t>七、正式计分前的数据补齐要求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Hiragino Sans GB" w:hAnsi="Hiragino Sans GB" w:eastAsia="Hiragino Sans GB"/>
          <w:color w:val="172B3A"/>
          <w:sz w:val="22"/>
        </w:rPr>
        <w:t>建立统计同行池：依据统一行业分类确定至少10家可比上市公司，并记录纳入/剔除规则。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Hiragino Sans GB" w:hAnsi="Hiragino Sans GB" w:eastAsia="Hiragino Sans GB"/>
          <w:color w:val="172B3A"/>
          <w:sz w:val="22"/>
        </w:rPr>
        <w:t>补齐公司端全文：覆盖至少20个季度的MD&amp;A、定期报告、投资者关系材料与重大经营公告。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Hiragino Sans GB" w:hAnsi="Hiragino Sans GB" w:eastAsia="Hiragino Sans GB"/>
          <w:color w:val="172B3A"/>
          <w:sz w:val="22"/>
        </w:rPr>
        <w:t>补齐第三方全文：券商研报与独立财经媒体使用同一时间窗，完成转载识别和来源权重分级。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Hiragino Sans GB" w:hAnsi="Hiragino Sans GB" w:eastAsia="Hiragino Sans GB"/>
          <w:color w:val="172B3A"/>
          <w:sz w:val="22"/>
        </w:rPr>
        <w:t>统一文本处理：按总词数计算密度，在创新关键词上下文窗口内计算情绪，使用固定版本词典。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Hiragino Sans GB" w:hAnsi="Hiragino Sans GB" w:eastAsia="Hiragino Sans GB"/>
          <w:color w:val="172B3A"/>
          <w:sz w:val="22"/>
        </w:rPr>
        <w:t>运行两类回归：自身/第三方异常强度残差回归，以及基本面前瞻性滚动回归与显著性检验。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Hiragino Sans GB" w:hAnsi="Hiragino Sans GB" w:eastAsia="Hiragino Sans GB"/>
          <w:color w:val="172B3A"/>
          <w:sz w:val="22"/>
        </w:rPr>
        <w:t>设置质量门槛：公司季度覆盖率≥80%、有效历史季度≥20、统计同行≥10；未达门槛一律不计分。</w:t>
      </w:r>
    </w:p>
    <w:p>
      <w:pPr>
        <w:keepLines/>
        <w:spacing w:before="120" w:after="200" w:line="269" w:lineRule="auto"/>
        <w:ind w:left="230" w:right="115"/>
        <w:shd w:fill="F4F6F9" w:val="clear"/>
        <w:pBdr>
          <w:left w:val="single" w:sz="18" w:space="8" w:color="2E74B5"/>
        </w:pBdr>
      </w:pPr>
      <w:r>
        <w:rPr>
          <w:rFonts w:ascii="Hiragino Sans GB" w:hAnsi="Hiragino Sans GB" w:eastAsia="Hiragino Sans GB"/>
          <w:b/>
          <w:color w:val="2E74B5"/>
          <w:sz w:val="22"/>
        </w:rPr>
        <w:t xml:space="preserve">建议系统标签  </w:t>
      </w:r>
      <w:r>
        <w:rPr>
          <w:rFonts w:ascii="Hiragino Sans GB" w:hAnsi="Hiragino Sans GB" w:eastAsia="Hiragino Sans GB"/>
          <w:color w:val="172B3A"/>
          <w:sz w:val="22"/>
        </w:rPr>
        <w:t>部分覆盖｜仅作叙事校验｜不参与综合评分。只有在同行语料、历史窗口和回归显著性均达到门槛后，才将指标状态升级为“可评分”。</w:t>
      </w:r>
    </w:p>
    <w:p>
      <w:pPr>
        <w:pStyle w:val="Heading1"/>
        <w:keepNext/>
      </w:pPr>
      <w:r>
        <w:t>附录A：来源清单</w:t>
      </w:r>
    </w:p>
    <w:p>
      <w:pPr>
        <w:spacing w:after="120" w:line="259" w:lineRule="auto"/>
        <w:ind w:left="259" w:hanging="259"/>
      </w:pPr>
      <w:r>
        <w:rPr>
          <w:rFonts w:ascii="Hiragino Sans GB" w:hAnsi="Hiragino Sans GB" w:eastAsia="Hiragino Sans GB"/>
          <w:b/>
          <w:color w:val="172B3A"/>
          <w:sz w:val="19"/>
        </w:rPr>
        <w:t xml:space="preserve">[1] </w:t>
      </w:r>
      <w:hyperlink r:id="rId11">
        <w:r>
          <w:rPr>
            <w:rFonts w:ascii="Hiragino Sans GB" w:hAnsi="Hiragino Sans GB" w:eastAsia="Hiragino Sans GB"/>
            <w:color w:val="2E74B5"/>
            <w:u w:val="single"/>
            <w:sz w:val="19"/>
            <w:szCs w:val="19"/>
          </w:rPr>
          <w:t>寒武纪2025年年度报告（东方财富公告镜像）</w:t>
        </w:r>
      </w:hyperlink>
    </w:p>
    <w:p>
      <w:pPr>
        <w:spacing w:after="120" w:line="259" w:lineRule="auto"/>
        <w:ind w:left="259" w:hanging="259"/>
      </w:pPr>
      <w:r>
        <w:rPr>
          <w:rFonts w:ascii="Hiragino Sans GB" w:hAnsi="Hiragino Sans GB" w:eastAsia="Hiragino Sans GB"/>
          <w:b/>
          <w:color w:val="172B3A"/>
          <w:sz w:val="19"/>
        </w:rPr>
        <w:t xml:space="preserve">[2] </w:t>
      </w:r>
      <w:hyperlink r:id="rId12">
        <w:r>
          <w:rPr>
            <w:rFonts w:ascii="Hiragino Sans GB" w:hAnsi="Hiragino Sans GB" w:eastAsia="Hiragino Sans GB"/>
            <w:color w:val="2E74B5"/>
            <w:u w:val="single"/>
            <w:sz w:val="19"/>
            <w:szCs w:val="19"/>
          </w:rPr>
          <w:t>寒武纪2026年半年度报告（新浪财经公告镜像）</w:t>
        </w:r>
      </w:hyperlink>
    </w:p>
    <w:p>
      <w:pPr>
        <w:spacing w:after="120" w:line="259" w:lineRule="auto"/>
        <w:ind w:left="259" w:hanging="259"/>
      </w:pPr>
      <w:r>
        <w:rPr>
          <w:rFonts w:ascii="Hiragino Sans GB" w:hAnsi="Hiragino Sans GB" w:eastAsia="Hiragino Sans GB"/>
          <w:b/>
          <w:color w:val="172B3A"/>
          <w:sz w:val="19"/>
        </w:rPr>
        <w:t xml:space="preserve">[3] </w:t>
      </w:r>
      <w:hyperlink r:id="rId13">
        <w:r>
          <w:rPr>
            <w:rFonts w:ascii="Hiragino Sans GB" w:hAnsi="Hiragino Sans GB" w:eastAsia="Hiragino Sans GB"/>
            <w:color w:val="2E74B5"/>
            <w:u w:val="single"/>
            <w:sz w:val="19"/>
            <w:szCs w:val="19"/>
          </w:rPr>
          <w:t>36氪 / AIX财经：《寒武纪：上半年暴赚23亿，下半年看交付》</w:t>
        </w:r>
      </w:hyperlink>
    </w:p>
    <w:p>
      <w:pPr>
        <w:spacing w:after="120" w:line="259" w:lineRule="auto"/>
        <w:ind w:left="259" w:hanging="259"/>
      </w:pPr>
      <w:r>
        <w:rPr>
          <w:rFonts w:ascii="Hiragino Sans GB" w:hAnsi="Hiragino Sans GB" w:eastAsia="Hiragino Sans GB"/>
          <w:b/>
          <w:color w:val="172B3A"/>
          <w:sz w:val="19"/>
        </w:rPr>
        <w:t xml:space="preserve">[4] </w:t>
      </w:r>
      <w:hyperlink r:id="rId14">
        <w:r>
          <w:rPr>
            <w:rFonts w:ascii="Hiragino Sans GB" w:hAnsi="Hiragino Sans GB" w:eastAsia="Hiragino Sans GB"/>
            <w:color w:val="2E74B5"/>
            <w:u w:val="single"/>
            <w:sz w:val="19"/>
            <w:szCs w:val="19"/>
          </w:rPr>
          <w:t>产业科技连线 / ZAKER：《寒武纪最强中报“出炉” 三年千亿营收目标挑战几何？》</w:t>
        </w:r>
      </w:hyperlink>
    </w:p>
    <w:p>
      <w:pPr>
        <w:spacing w:after="120" w:line="259" w:lineRule="auto"/>
        <w:ind w:left="259" w:hanging="259"/>
      </w:pPr>
      <w:r>
        <w:rPr>
          <w:rFonts w:ascii="Hiragino Sans GB" w:hAnsi="Hiragino Sans GB" w:eastAsia="Hiragino Sans GB"/>
          <w:b/>
          <w:color w:val="172B3A"/>
          <w:sz w:val="19"/>
        </w:rPr>
        <w:t xml:space="preserve">[5] </w:t>
      </w:r>
      <w:hyperlink r:id="rId15">
        <w:r>
          <w:rPr>
            <w:rFonts w:ascii="Hiragino Sans GB" w:hAnsi="Hiragino Sans GB" w:eastAsia="Hiragino Sans GB"/>
            <w:color w:val="2E74B5"/>
            <w:u w:val="single"/>
            <w:sz w:val="19"/>
            <w:szCs w:val="19"/>
          </w:rPr>
          <w:t>国海证券：寒武纪公司研究报告（2026-08-11）</w:t>
        </w:r>
      </w:hyperlink>
    </w:p>
    <w:p>
      <w:pPr>
        <w:spacing w:after="120" w:line="259" w:lineRule="auto"/>
        <w:ind w:left="259" w:hanging="259"/>
      </w:pPr>
      <w:r>
        <w:rPr>
          <w:rFonts w:ascii="Hiragino Sans GB" w:hAnsi="Hiragino Sans GB" w:eastAsia="Hiragino Sans GB"/>
          <w:b/>
          <w:color w:val="172B3A"/>
          <w:sz w:val="19"/>
        </w:rPr>
        <w:t xml:space="preserve">[6] </w:t>
      </w:r>
      <w:hyperlink r:id="rId16">
        <w:r>
          <w:rPr>
            <w:rFonts w:ascii="Hiragino Sans GB" w:hAnsi="Hiragino Sans GB" w:eastAsia="Hiragino Sans GB"/>
            <w:color w:val="2E74B5"/>
            <w:u w:val="single"/>
            <w:sz w:val="19"/>
            <w:szCs w:val="19"/>
          </w:rPr>
          <w:t>国联民生证券：寒武纪公司研究报告（2026-08-10）</w:t>
        </w:r>
      </w:hyperlink>
    </w:p>
    <w:p>
      <w:pPr>
        <w:spacing w:after="120" w:line="259" w:lineRule="auto"/>
        <w:ind w:left="259" w:hanging="259"/>
      </w:pPr>
      <w:r>
        <w:rPr>
          <w:rFonts w:ascii="Hiragino Sans GB" w:hAnsi="Hiragino Sans GB" w:eastAsia="Hiragino Sans GB"/>
          <w:b/>
          <w:color w:val="172B3A"/>
          <w:sz w:val="19"/>
        </w:rPr>
        <w:t xml:space="preserve">[7] </w:t>
      </w:r>
      <w:hyperlink r:id="rId17">
        <w:r>
          <w:rPr>
            <w:rFonts w:ascii="Hiragino Sans GB" w:hAnsi="Hiragino Sans GB" w:eastAsia="Hiragino Sans GB"/>
            <w:color w:val="2E74B5"/>
            <w:u w:val="single"/>
            <w:sz w:val="19"/>
            <w:szCs w:val="19"/>
          </w:rPr>
          <w:t>每日经济新闻转载页：寒武纪2026年半年报相关报道</w:t>
        </w:r>
      </w:hyperlink>
    </w:p>
    <w:p>
      <w:pPr>
        <w:spacing w:after="120" w:line="259" w:lineRule="auto"/>
        <w:ind w:left="259" w:hanging="259"/>
      </w:pPr>
      <w:r>
        <w:rPr>
          <w:rFonts w:ascii="Hiragino Sans GB" w:hAnsi="Hiragino Sans GB" w:eastAsia="Hiragino Sans GB"/>
          <w:b/>
          <w:color w:val="172B3A"/>
          <w:sz w:val="19"/>
        </w:rPr>
        <w:t xml:space="preserve">[8] </w:t>
      </w:r>
      <w:hyperlink r:id="rId18">
        <w:r>
          <w:rPr>
            <w:rFonts w:ascii="Hiragino Sans GB" w:hAnsi="Hiragino Sans GB" w:eastAsia="Hiragino Sans GB"/>
            <w:color w:val="2E74B5"/>
            <w:u w:val="single"/>
            <w:sz w:val="19"/>
            <w:szCs w:val="19"/>
          </w:rPr>
          <w:t>华尔街见闻：寒武纪历史估值与基本面风险提示（2025-08-28）</w:t>
        </w:r>
      </w:hyperlink>
    </w:p>
    <w:p>
      <w:pPr>
        <w:spacing w:after="120" w:line="259" w:lineRule="auto"/>
        <w:ind w:left="259" w:hanging="259"/>
      </w:pPr>
      <w:r>
        <w:rPr>
          <w:rFonts w:ascii="Hiragino Sans GB" w:hAnsi="Hiragino Sans GB" w:eastAsia="Hiragino Sans GB"/>
          <w:b/>
          <w:color w:val="172B3A"/>
          <w:sz w:val="19"/>
        </w:rPr>
        <w:t xml:space="preserve">[9] </w:t>
      </w:r>
      <w:hyperlink r:id="rId19">
        <w:r>
          <w:rPr>
            <w:rFonts w:ascii="Hiragino Sans GB" w:hAnsi="Hiragino Sans GB" w:eastAsia="Hiragino Sans GB"/>
            <w:color w:val="2E74B5"/>
            <w:u w:val="single"/>
            <w:sz w:val="19"/>
            <w:szCs w:val="19"/>
          </w:rPr>
          <w:t>中文金融情绪词典（jqyaoxjtu / SentimentDictionaries）</w:t>
        </w:r>
      </w:hyperlink>
    </w:p>
    <w:p>
      <w:pPr>
        <w:spacing w:after="120" w:line="259" w:lineRule="auto"/>
        <w:ind w:left="259" w:hanging="259"/>
      </w:pPr>
      <w:r>
        <w:rPr>
          <w:rFonts w:ascii="Hiragino Sans GB" w:hAnsi="Hiragino Sans GB" w:eastAsia="Hiragino Sans GB"/>
          <w:b/>
          <w:color w:val="172B3A"/>
          <w:sz w:val="19"/>
        </w:rPr>
        <w:t xml:space="preserve">[10] </w:t>
      </w:r>
      <w:hyperlink r:id="rId20">
        <w:r>
          <w:rPr>
            <w:rFonts w:ascii="Hiragino Sans GB" w:hAnsi="Hiragino Sans GB" w:eastAsia="Hiragino Sans GB"/>
            <w:color w:val="2E74B5"/>
            <w:u w:val="single"/>
            <w:sz w:val="19"/>
            <w:szCs w:val="19"/>
          </w:rPr>
          <w:t>扩展LM中文金融情绪词典</w:t>
        </w:r>
      </w:hyperlink>
    </w:p>
    <w:p>
      <w:pPr>
        <w:pStyle w:val="Heading1"/>
        <w:keepNext/>
      </w:pPr>
      <w:r>
        <w:t>附录B：方法来源与免责声明</w:t>
      </w:r>
    </w:p>
    <w:p>
      <w:pPr>
        <w:keepLines w:val="0"/>
        <w:spacing w:before="0" w:after="120" w:line="264" w:lineRule="auto"/>
      </w:pPr>
      <w:r>
        <w:rPr>
          <w:rFonts w:ascii="Hiragino Sans GB" w:hAnsi="Hiragino Sans GB" w:eastAsia="Hiragino Sans GB"/>
          <w:color w:val="172B3A"/>
          <w:sz w:val="22"/>
        </w:rPr>
        <w:t>方法来源为用户提供的《第三方与自身表述》与《企业叙事》两份叙事标准文件。报告中的指标状态、证据权重和风险判断是对公开材料的研究性整理，不代表已完成统计建模。</w:t>
      </w:r>
    </w:p>
    <w:p>
      <w:pPr>
        <w:keepLines w:val="0"/>
        <w:spacing w:before="0" w:after="200" w:line="264" w:lineRule="auto"/>
      </w:pPr>
      <w:r>
        <w:rPr>
          <w:rFonts w:ascii="Hiragino Sans GB" w:hAnsi="Hiragino Sans GB" w:eastAsia="Hiragino Sans GB"/>
          <w:color w:val="172B3A"/>
          <w:sz w:val="22"/>
        </w:rPr>
        <w:t>本报告不构成证券研究报告、投资建议、评级或交易依据。新闻与研报观点属于原作者；链接可用性、正文更新和付费访问状态可能随时间变化。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Hiragino Sans GB" w:hAnsi="Hiragino Sans GB" w:eastAsia="Hiragino Sans GB"/>
        <w:color w:val="5D6973"/>
        <w:sz w:val="18"/>
      </w:rPr>
      <w:t xml:space="preserve">仅作风险研究，不构成投资建议  ·  第 </w:t>
    </w:r>
    <w:r>
      <w:rPr>
        <w:rFonts w:ascii="Hiragino Sans GB" w:hAnsi="Hiragino Sans GB" w:eastAsia="Hiragino Sans GB"/>
        <w:color w:val="5D6973"/>
        <w:sz w:val="18"/>
      </w:rPr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color w:val="5D69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/>
        <w:color w:val="5D6973"/>
        <w:sz w:val="18"/>
      </w:rPr>
      <w:t>科创企业叙事风险研究｜寒武纪（688256.SH）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64" w:lineRule="auto"/>
      </w:pPr>
      <w:rPr>
        <w:rFonts w:ascii="Hiragino Sans GB" w:hAnsi="Hiragino Sans GB" w:eastAsia="Hiragino Sans GB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64" w:lineRule="auto"/>
      </w:pPr>
      <w:rPr>
        <w:rFonts w:ascii="Hiragino Sans GB" w:hAnsi="Hiragino Sans GB" w:eastAsia="Hiragino Sans GB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Sans GB" w:hAnsi="Hiragino Sans GB" w:eastAsia="Hiragino Sans GB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ata.eastmoney.com/notices/detail/688256/AN202603121820526132.html" TargetMode="External"/><Relationship Id="rId12" Type="http://schemas.openxmlformats.org/officeDocument/2006/relationships/hyperlink" Target="https://vip.stock.finance.sina.com.cn/corp/view/vCB_AllBulletinDetail.php?id=12484346" TargetMode="External"/><Relationship Id="rId13" Type="http://schemas.openxmlformats.org/officeDocument/2006/relationships/hyperlink" Target="https://36kr.com/p/3930248675497858" TargetMode="External"/><Relationship Id="rId14" Type="http://schemas.openxmlformats.org/officeDocument/2006/relationships/hyperlink" Target="https://www.myzaker.com/article/6a76915a8e9f093689107683" TargetMode="External"/><Relationship Id="rId15" Type="http://schemas.openxmlformats.org/officeDocument/2006/relationships/hyperlink" Target="https://stock.finance.sina.com.cn/stock/go.php/vReport_Show/kind/search/rptid/839733373360/index.phtml" TargetMode="External"/><Relationship Id="rId16" Type="http://schemas.openxmlformats.org/officeDocument/2006/relationships/hyperlink" Target="https://stock.finance.sina.com.cn/stock/go.php/vReport_Show/kind/company/rptid/839683661980/index.phtml" TargetMode="External"/><Relationship Id="rId17" Type="http://schemas.openxmlformats.org/officeDocument/2006/relationships/hyperlink" Target="https://news.qq.com/rain/a/20260807A0FQDQ00" TargetMode="External"/><Relationship Id="rId18" Type="http://schemas.openxmlformats.org/officeDocument/2006/relationships/hyperlink" Target="https://wallstreetcn.com/articles/3754419" TargetMode="External"/><Relationship Id="rId19" Type="http://schemas.openxmlformats.org/officeDocument/2006/relationships/hyperlink" Target="https://github.com/jqyaoxjtu/SentimentDictionaries" TargetMode="External"/><Relationship Id="rId20" Type="http://schemas.openxmlformats.org/officeDocument/2006/relationships/hyperlink" Target="https://github.com/MengLingchao/Chinese_financial_sentiment_diction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寒武纪叙事风险初步评估报告</dc:title>
  <dc:subject>基于公司自身、第三方表述与企业叙事前瞻性背离框架</dc:subject>
  <dc:creator>科创风险平台研究</dc:creator>
  <cp:keywords>寒武纪, 叙事风险, 第三方表述, PNFDI, 风险评估</cp:keywords>
  <dc:description>公开资料初步研究；观察截止2026-08-25。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