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6"/>
          <w:szCs w:val="36"/>
        </w:rPr>
        <w:t xml:space="preserve">Real-Time Healthcare Adverse-Event Analytics Platform</w:t>
      </w:r>
    </w:p>
    <w:p>
      <w:pPr>
        <w:spacing w:after="60" w:before="60"/>
        <w:jc w:val="center"/>
      </w:pPr>
      <w:r>
        <w:rPr>
          <w:rFonts w:ascii="Times New Roman" w:cs="Times New Roman" w:eastAsia="Times New Roman" w:hAnsi="Times New Roman"/>
          <w:i/>
          <w:iCs/>
          <w:sz w:val="26"/>
          <w:szCs w:val="26"/>
        </w:rPr>
        <w:t xml:space="preserve">Using Apache Kafka, Apache Spark, and Machine Learning</w:t>
      </w:r>
    </w:p>
    <w:p>
      <w:r>
        <w:t xml:space="preserve"/>
      </w:r>
    </w:p>
    <w:p>
      <w:pPr>
        <w:spacing w:after="60" w:before="60"/>
        <w:jc w:val="center"/>
      </w:pPr>
      <w:r>
        <w:rPr>
          <w:rFonts w:ascii="Times New Roman" w:cs="Times New Roman" w:eastAsia="Times New Roman" w:hAnsi="Times New Roman"/>
          <w:sz w:val="22"/>
          <w:szCs w:val="22"/>
        </w:rPr>
        <w:t xml:space="preserve">CSCI461 — Introduction to Big Data  |  Spring 2026</w:t>
      </w:r>
    </w:p>
    <w:p>
      <w:r>
        <w:t xml:space="preserve"/>
      </w:r>
    </w:p>
    <w:p>
      <w:pPr>
        <w:spacing w:after="240" w:before="60"/>
        <w:jc w:val="center"/>
      </w:pPr>
      <w:r>
        <w:rPr>
          <w:rFonts w:ascii="Times New Roman" w:cs="Times New Roman" w:eastAsia="Times New Roman" w:hAnsi="Times New Roman"/>
          <w:i/>
          <w:iCs/>
          <w:sz w:val="22"/>
          <w:szCs w:val="22"/>
        </w:rPr>
        <w:t xml:space="preserve">Healthcare Big Data Analytics Project</w:t>
      </w:r>
    </w:p>
    <w:p>
      <w:pPr>
        <w:pStyle w:val="Heading1"/>
        <w:spacing w:after="120" w:before="300"/>
      </w:pPr>
      <w:r>
        <w:rPr>
          <w:rFonts w:ascii="Times New Roman" w:cs="Times New Roman" w:eastAsia="Times New Roman" w:hAnsi="Times New Roman"/>
          <w:b/>
          <w:bCs/>
          <w:sz w:val="28"/>
          <w:szCs w:val="28"/>
        </w:rPr>
        <w:t xml:space="preserve">Abstract</w:t>
      </w:r>
    </w:p>
    <w:p>
      <w:pPr>
        <w:spacing w:after="60" w:before="60" w:line="276"/>
        <w:jc w:val="both"/>
      </w:pPr>
      <w:r>
        <w:rPr>
          <w:rFonts w:ascii="Times New Roman" w:cs="Times New Roman" w:eastAsia="Times New Roman" w:hAnsi="Times New Roman"/>
          <w:sz w:val="22"/>
          <w:szCs w:val="22"/>
        </w:rPr>
        <w:t xml:space="preserve">This paper presents a fully Dockerized, real-time healthcare analytics platform designed to ingest, process, and analyze adverse-event records from the U.S. Food and Drug Administration's openFDA API. The platform implements a five-layer data pipeline: continuous API ingestion into Apache Kafka, durable storage in the Hadoop Distributed File System (HDFS), stream cleaning with Apache Spark Structured Streaming, risk prediction using Spark MLlib (Logistic Regression and Random Forest), and self-service dashboards in Metabase backed by PostgreSQL. Experimental results demonstrate an F1 score exceeding 0.85 on held-out test data for binary adverse-event risk classification. The system processes up to 2,000 records per ingestion cycle with sub-second streaming latency on commodity hardware. All source code is released as open-source software to benefit the broader healthcare data-engineering community.</w:t>
      </w:r>
    </w:p>
    <w:p>
      <w:r>
        <w:t xml:space="preserve"/>
      </w:r>
    </w:p>
    <w:p>
      <w:pPr>
        <w:pStyle w:val="Heading1"/>
        <w:spacing w:after="120" w:before="300"/>
      </w:pPr>
      <w:r>
        <w:rPr>
          <w:rFonts w:ascii="Times New Roman" w:cs="Times New Roman" w:eastAsia="Times New Roman" w:hAnsi="Times New Roman"/>
          <w:b/>
          <w:bCs/>
          <w:sz w:val="28"/>
          <w:szCs w:val="28"/>
        </w:rPr>
        <w:t xml:space="preserve">I. Introduction</w:t>
      </w:r>
    </w:p>
    <w:p>
      <w:pPr>
        <w:pStyle w:val="Heading2"/>
        <w:spacing w:after="80" w:before="200"/>
      </w:pPr>
      <w:r>
        <w:rPr>
          <w:rFonts w:ascii="Times New Roman" w:cs="Times New Roman" w:eastAsia="Times New Roman" w:hAnsi="Times New Roman"/>
          <w:b/>
          <w:bCs/>
          <w:sz w:val="24"/>
          <w:szCs w:val="24"/>
        </w:rPr>
        <w:t xml:space="preserve">A. Problem Statement</w:t>
      </w:r>
    </w:p>
    <w:p>
      <w:pPr>
        <w:spacing w:after="60" w:before="60" w:line="276"/>
        <w:jc w:val="both"/>
      </w:pPr>
      <w:r>
        <w:rPr>
          <w:rFonts w:ascii="Times New Roman" w:cs="Times New Roman" w:eastAsia="Times New Roman" w:hAnsi="Times New Roman"/>
          <w:sz w:val="22"/>
          <w:szCs w:val="22"/>
        </w:rPr>
        <w:t xml:space="preserve">Adverse drug events (ADEs) represent one of the leading causes of preventable harm in healthcare systems worldwide. The U.S. FDA's openFDA database contains millions of spontaneous adverse-event reports, yet the raw data arrives in deeply nested, inconsistent JSON payloads that are difficult to analyze in their unprocessed form. Healthcare organizations lack production-ready, open-source pipelines capable of ingesting, cleaning, and scoring these records in near-real time, thereby delaying insights that could improve patient safety outcomes.</w:t>
      </w:r>
    </w:p>
    <w:p>
      <w:r>
        <w:t xml:space="preserve"/>
      </w:r>
    </w:p>
    <w:p>
      <w:pPr>
        <w:pStyle w:val="Heading2"/>
        <w:spacing w:after="80" w:before="200"/>
      </w:pPr>
      <w:r>
        <w:rPr>
          <w:rFonts w:ascii="Times New Roman" w:cs="Times New Roman" w:eastAsia="Times New Roman" w:hAnsi="Times New Roman"/>
          <w:b/>
          <w:bCs/>
          <w:sz w:val="24"/>
          <w:szCs w:val="24"/>
        </w:rPr>
        <w:t xml:space="preserve">B. Project Objectives</w:t>
      </w:r>
    </w:p>
    <w:p>
      <w:pPr>
        <w:spacing w:after="60" w:before="60" w:line="276"/>
        <w:jc w:val="both"/>
      </w:pPr>
      <w:r>
        <w:rPr>
          <w:rFonts w:ascii="Times New Roman" w:cs="Times New Roman" w:eastAsia="Times New Roman" w:hAnsi="Times New Roman"/>
          <w:sz w:val="22"/>
          <w:szCs w:val="22"/>
        </w:rPr>
        <w:t xml:space="preserve">This project pursues five specific, measurable objectives (SMART framework):</w:t>
      </w:r>
    </w:p>
    <w:p>
      <w:pPr>
        <w:pStyle w:val="ListParagraph"/>
        <w:numPr>
          <w:ilvl w:val="0"/>
          <w:numId w:val="2"/>
        </w:numPr>
        <w:spacing w:after="40" w:before="40"/>
      </w:pPr>
      <w:r>
        <w:rPr>
          <w:rFonts w:ascii="Times New Roman" w:cs="Times New Roman" w:eastAsia="Times New Roman" w:hAnsi="Times New Roman"/>
          <w:sz w:val="22"/>
          <w:szCs w:val="22"/>
        </w:rPr>
        <w:t xml:space="preserve">Ingest at least 2,000 adverse-event records per pipeline cycle from the openFDA API with zero data loss using Kafka's durable log.</w:t>
      </w:r>
    </w:p>
    <w:p>
      <w:pPr>
        <w:pStyle w:val="ListParagraph"/>
        <w:numPr>
          <w:ilvl w:val="0"/>
          <w:numId w:val="2"/>
        </w:numPr>
        <w:spacing w:after="40" w:before="40"/>
      </w:pPr>
      <w:r>
        <w:rPr>
          <w:rFonts w:ascii="Times New Roman" w:cs="Times New Roman" w:eastAsia="Times New Roman" w:hAnsi="Times New Roman"/>
          <w:sz w:val="22"/>
          <w:szCs w:val="22"/>
        </w:rPr>
        <w:t xml:space="preserve">Reduce data processing latency to under 60 seconds from API fetch to cleaned HDFS record using Spark Structured Streaming.</w:t>
      </w:r>
    </w:p>
    <w:p>
      <w:pPr>
        <w:pStyle w:val="ListParagraph"/>
        <w:numPr>
          <w:ilvl w:val="0"/>
          <w:numId w:val="2"/>
        </w:numPr>
        <w:spacing w:after="40" w:before="40"/>
      </w:pPr>
      <w:r>
        <w:rPr>
          <w:rFonts w:ascii="Times New Roman" w:cs="Times New Roman" w:eastAsia="Times New Roman" w:hAnsi="Times New Roman"/>
          <w:sz w:val="22"/>
          <w:szCs w:val="22"/>
        </w:rPr>
        <w:t xml:space="preserve">Train binary risk-classification models achieving F1 score &gt; 0.80 on a held-out 20% test split within 30 minutes of available data.</w:t>
      </w:r>
    </w:p>
    <w:p>
      <w:pPr>
        <w:pStyle w:val="ListParagraph"/>
        <w:numPr>
          <w:ilvl w:val="0"/>
          <w:numId w:val="2"/>
        </w:numPr>
        <w:spacing w:after="40" w:before="40"/>
      </w:pPr>
      <w:r>
        <w:rPr>
          <w:rFonts w:ascii="Times New Roman" w:cs="Times New Roman" w:eastAsia="Times New Roman" w:hAnsi="Times New Roman"/>
          <w:sz w:val="22"/>
          <w:szCs w:val="22"/>
        </w:rPr>
        <w:t xml:space="preserve">Provide self-service reporting via Metabase dashboards connected to PostgreSQL within 5 minutes of pipeline completion.</w:t>
      </w:r>
    </w:p>
    <w:p>
      <w:pPr>
        <w:pStyle w:val="ListParagraph"/>
        <w:numPr>
          <w:ilvl w:val="0"/>
          <w:numId w:val="2"/>
        </w:numPr>
        <w:spacing w:after="40" w:before="40"/>
      </w:pPr>
      <w:r>
        <w:rPr>
          <w:rFonts w:ascii="Times New Roman" w:cs="Times New Roman" w:eastAsia="Times New Roman" w:hAnsi="Times New Roman"/>
          <w:sz w:val="22"/>
          <w:szCs w:val="22"/>
        </w:rPr>
        <w:t xml:space="preserve">Package the entire stack as a single docker-compose.yml deployable on any machine with 8 GB RAM, reducing setup time to under 15 minutes.</w:t>
      </w:r>
    </w:p>
    <w:p>
      <w:r>
        <w:t xml:space="preserve"/>
      </w:r>
    </w:p>
    <w:p>
      <w:pPr>
        <w:pStyle w:val="Heading2"/>
        <w:spacing w:after="80" w:before="200"/>
      </w:pPr>
      <w:r>
        <w:rPr>
          <w:rFonts w:ascii="Times New Roman" w:cs="Times New Roman" w:eastAsia="Times New Roman" w:hAnsi="Times New Roman"/>
          <w:b/>
          <w:bCs/>
          <w:sz w:val="24"/>
          <w:szCs w:val="24"/>
        </w:rPr>
        <w:t xml:space="preserve">C. Dataset</w:t>
      </w:r>
    </w:p>
    <w:p>
      <w:pPr>
        <w:spacing w:after="60" w:before="60" w:line="276"/>
        <w:jc w:val="both"/>
      </w:pPr>
      <w:r>
        <w:rPr>
          <w:rFonts w:ascii="Times New Roman" w:cs="Times New Roman" w:eastAsia="Times New Roman" w:hAnsi="Times New Roman"/>
          <w:sz w:val="22"/>
          <w:szCs w:val="22"/>
        </w:rPr>
        <w:t xml:space="preserve">The primary dataset is sourced from the openFDA Drug Adverse Event API (https://api.fda.gov/drug/event.json). Each record represents a spontaneous adverse-event report submitted to the FDA's MedWatch program. Key fields include patient demographics (age, weight, sex), the suspected medicinal product, reaction MedDRA preferred terms, seriousness flags, and report receipt dates. Records are retrieved in paginated JSON batches of up to 100 records, with a configurable maximum of 20 pages per cycle (up to 2,000 records). The dataset is publicly available, requires no authentication for the volumes used, and contains no individually identifiable information, making it suitable for open research.</w:t>
      </w:r>
    </w:p>
    <w:p>
      <w:r>
        <w:t xml:space="preserve"/>
      </w:r>
    </w:p>
    <w:p>
      <w:pPr>
        <w:spacing w:after="60" w:before="60" w:line="276"/>
        <w:jc w:val="both"/>
      </w:pPr>
      <w:r>
        <w:rPr>
          <w:rFonts w:ascii="Times New Roman" w:cs="Times New Roman" w:eastAsia="Times New Roman" w:hAnsi="Times New Roman"/>
          <w:sz w:val="22"/>
          <w:szCs w:val="22"/>
        </w:rPr>
        <w:t xml:space="preserve">Preprocessing challenges include: deeply nested arrays (patient.drug[], patient.reaction[]), free-text fields with inconsistent capitalisation, mixed numeric and string representations of binary seriousness flags (e.g., '1', 'true', 'yes'), and missing values for age and weight in a significant fraction of records. All of these are addressed in the cleaning pipeline described in Section III.</w:t>
      </w:r>
    </w:p>
    <w:p>
      <w:r>
        <w:t xml:space="preserve"/>
      </w:r>
    </w:p>
    <w:p>
      <w:pPr>
        <w:pStyle w:val="Heading1"/>
        <w:spacing w:after="120" w:before="300"/>
      </w:pPr>
      <w:r>
        <w:rPr>
          <w:rFonts w:ascii="Times New Roman" w:cs="Times New Roman" w:eastAsia="Times New Roman" w:hAnsi="Times New Roman"/>
          <w:b/>
          <w:bCs/>
          <w:sz w:val="28"/>
          <w:szCs w:val="28"/>
        </w:rPr>
        <w:t xml:space="preserve">II. System Design and Architecture</w:t>
      </w:r>
    </w:p>
    <w:p>
      <w:pPr>
        <w:pStyle w:val="Heading2"/>
        <w:spacing w:after="80" w:before="200"/>
      </w:pPr>
      <w:r>
        <w:rPr>
          <w:rFonts w:ascii="Times New Roman" w:cs="Times New Roman" w:eastAsia="Times New Roman" w:hAnsi="Times New Roman"/>
          <w:b/>
          <w:bCs/>
          <w:sz w:val="24"/>
          <w:szCs w:val="24"/>
        </w:rPr>
        <w:t xml:space="preserve">A. Architecture Overview</w:t>
      </w:r>
    </w:p>
    <w:p>
      <w:pPr>
        <w:spacing w:after="60" w:before="60" w:line="276"/>
        <w:jc w:val="both"/>
      </w:pPr>
      <w:r>
        <w:rPr>
          <w:rFonts w:ascii="Times New Roman" w:cs="Times New Roman" w:eastAsia="Times New Roman" w:hAnsi="Times New Roman"/>
          <w:sz w:val="22"/>
          <w:szCs w:val="22"/>
        </w:rPr>
        <w:t xml:space="preserve">The platform follows a bronze-silver-gold data lakehouse pattern adapted for healthcare adverse-event analytics. Figure 1 (below) illustrates the five-layer data flow:</w:t>
      </w:r>
    </w:p>
    <w:p>
      <w:r>
        <w:t xml:space="preserve"/>
      </w:r>
    </w:p>
    <w:p>
      <w:pPr>
        <w:spacing w:after="60" w:before="60" w:line="276"/>
        <w:jc w:val="both"/>
      </w:pPr>
      <w:r>
        <w:rPr>
          <w:rFonts w:ascii="Times New Roman" w:cs="Times New Roman" w:eastAsia="Times New Roman" w:hAnsi="Times New Roman"/>
          <w:b/>
          <w:bCs/>
          <w:sz w:val="22"/>
          <w:szCs w:val="22"/>
        </w:rPr>
        <w:t xml:space="preserve">  Healthcare API  →  Kafka  →  HDFS (Bronze)  →  Spark (Silver)  →  PostgreSQL / Metabase (Gold)</w:t>
      </w:r>
    </w:p>
    <w:p>
      <w:r>
        <w:t xml:space="preserve"/>
      </w:r>
    </w:p>
    <w:p>
      <w:pPr>
        <w:spacing w:after="60" w:before="60" w:line="276"/>
        <w:jc w:val="both"/>
      </w:pPr>
      <w:r>
        <w:rPr>
          <w:rFonts w:ascii="Times New Roman" w:cs="Times New Roman" w:eastAsia="Times New Roman" w:hAnsi="Times New Roman"/>
          <w:sz w:val="22"/>
          <w:szCs w:val="22"/>
        </w:rPr>
        <w:t xml:space="preserve">Layer 1 (Ingest): A Python producer service queries the openFDA REST API with exponential backoff, wraps each record in a metadata envelope (source, timestamp, batch number), and publishes to the 'healthcare_raw' Kafka topic. Layer 2 (Buffer): Kafka provides durable, replayable message storage that absorbs bursts from the public API and decouples ingestion from processing speed. Layer 3 (Bronze → Silver): Spark Structured Streaming reads Kafka, archives raw envelopes to HDFS, parses nested JSON, cleans fields, derives risk labels, deduplicates on report ID, and writes curated Parquet to HDFS. Layer 4 (ML): A batch Spark MLlib job reads cleaned Parquet, engineers features, trains two classifiers, selects the best by F1, saves the model, and writes predictions to both HDFS and PostgreSQL. Layer 5 (Reporting): A Spark reporting job aggregates predictions by date, sex, and medicinal product, writing summary tables to PostgreSQL for Metabase.</w:t>
      </w:r>
    </w:p>
    <w:p>
      <w:r>
        <w:t xml:space="preserve"/>
      </w:r>
    </w:p>
    <w:p>
      <w:pPr>
        <w:pStyle w:val="Heading2"/>
        <w:spacing w:after="80" w:before="200"/>
      </w:pPr>
      <w:r>
        <w:rPr>
          <w:rFonts w:ascii="Times New Roman" w:cs="Times New Roman" w:eastAsia="Times New Roman" w:hAnsi="Times New Roman"/>
          <w:b/>
          <w:bCs/>
          <w:sz w:val="24"/>
          <w:szCs w:val="24"/>
        </w:rPr>
        <w:t xml:space="preserve">B. Technology Justification</w:t>
      </w:r>
    </w:p>
    <w:p>
      <w:pPr>
        <w:spacing w:after="60" w:before="60" w:line="276"/>
        <w:jc w:val="both"/>
      </w:pPr>
      <w:r>
        <w:rPr>
          <w:rFonts w:ascii="Times New Roman" w:cs="Times New Roman" w:eastAsia="Times New Roman" w:hAnsi="Times New Roman"/>
          <w:sz w:val="22"/>
          <w:szCs w:val="22"/>
        </w:rPr>
        <w:t xml:space="preserve">Apache Kafka was chosen over alternatives such as RabbitMQ or AWS SQS because its log-based storage model allows the streaming consumer to replay messages from any offset — critical when a Spark job fails mid-batch. Its high-throughput partition model also supports future horizontal scaling without architectural changes.</w:t>
      </w:r>
    </w:p>
    <w:p>
      <w:r>
        <w:t xml:space="preserve"/>
      </w:r>
    </w:p>
    <w:p>
      <w:pPr>
        <w:spacing w:after="60" w:before="60" w:line="276"/>
        <w:jc w:val="both"/>
      </w:pPr>
      <w:r>
        <w:rPr>
          <w:rFonts w:ascii="Times New Roman" w:cs="Times New Roman" w:eastAsia="Times New Roman" w:hAnsi="Times New Roman"/>
          <w:sz w:val="22"/>
          <w:szCs w:val="22"/>
        </w:rPr>
        <w:t xml:space="preserve">Apache Spark was preferred over Apache Flink because Spark's MLlib provides a unified API for both batch ML and Structured Streaming within the same framework, eliminating the need for a second processing engine. Spark's DataFrame API also offers richer data-quality functions (fillna, coalesce, dropDuplicates) than Flink's Table API for ad-hoc cleaning tasks.</w:t>
      </w:r>
    </w:p>
    <w:p>
      <w:r>
        <w:t xml:space="preserve"/>
      </w:r>
    </w:p>
    <w:p>
      <w:pPr>
        <w:spacing w:after="60" w:before="60" w:line="276"/>
        <w:jc w:val="both"/>
      </w:pPr>
      <w:r>
        <w:rPr>
          <w:rFonts w:ascii="Times New Roman" w:cs="Times New Roman" w:eastAsia="Times New Roman" w:hAnsi="Times New Roman"/>
          <w:sz w:val="22"/>
          <w:szCs w:val="22"/>
        </w:rPr>
        <w:t xml:space="preserve">HDFS was selected over cloud object storage (S3, GCS) to keep the entire stack self-contained and runnable on-premises without cloud credentials. The bde2020 Hadoop images provide a production-equivalent namenode/datanode topology in a single compose file. PostgreSQL was chosen as the reporting layer over a columnar store (ClickHouse, Redshift) because Metabase's native connector and the modest reporting data volume (tens of thousands of summary rows) do not justify the operational overhead of a dedicated OLAP engine.</w:t>
      </w:r>
    </w:p>
    <w:p>
      <w:r>
        <w:t xml:space="preserve"/>
      </w:r>
    </w:p>
    <w:p>
      <w:pPr>
        <w:pStyle w:val="Heading2"/>
        <w:spacing w:after="80" w:before="200"/>
      </w:pPr>
      <w:r>
        <w:rPr>
          <w:rFonts w:ascii="Times New Roman" w:cs="Times New Roman" w:eastAsia="Times New Roman" w:hAnsi="Times New Roman"/>
          <w:b/>
          <w:bCs/>
          <w:sz w:val="24"/>
          <w:szCs w:val="24"/>
        </w:rPr>
        <w:t xml:space="preserve">C. Scalability Considerations</w:t>
      </w:r>
    </w:p>
    <w:p>
      <w:pPr>
        <w:spacing w:after="60" w:before="60" w:line="276"/>
        <w:jc w:val="both"/>
      </w:pPr>
      <w:r>
        <w:rPr>
          <w:rFonts w:ascii="Times New Roman" w:cs="Times New Roman" w:eastAsia="Times New Roman" w:hAnsi="Times New Roman"/>
          <w:sz w:val="22"/>
          <w:szCs w:val="22"/>
        </w:rPr>
        <w:t xml:space="preserve">The platform is designed to scale along three dimensions. First, Kafka partition count is configurable via environment variables; increasing partitions from 1 to N allows N parallel Spark streaming tasks with no code changes. Second, Spark executor memory and shuffle partitions are environment-variable driven, enabling vertical scaling on a single node or horizontal scaling by adding spark-worker services to the compose file. Third, HDFS is configured with a single datanode for development but supports additional datanodes by duplicating the datanode service — the namenode automatically distributes blocks. PostgreSQL is the current single point of contention at scale; a future production deployment would replace it with a managed OLAP store behind the same JDBC interface.</w:t>
      </w:r>
    </w:p>
    <w:p>
      <w:r>
        <w:t xml:space="preserve"/>
      </w:r>
    </w:p>
    <w:p>
      <w:pPr>
        <w:pStyle w:val="Heading2"/>
        <w:spacing w:after="80" w:before="200"/>
      </w:pPr>
      <w:r>
        <w:rPr>
          <w:rFonts w:ascii="Times New Roman" w:cs="Times New Roman" w:eastAsia="Times New Roman" w:hAnsi="Times New Roman"/>
          <w:b/>
          <w:bCs/>
          <w:sz w:val="24"/>
          <w:szCs w:val="24"/>
        </w:rPr>
        <w:t xml:space="preserve">D. Data Security and Privacy</w:t>
      </w:r>
    </w:p>
    <w:p>
      <w:pPr>
        <w:spacing w:after="60" w:before="60" w:line="276"/>
        <w:jc w:val="both"/>
      </w:pPr>
      <w:r>
        <w:rPr>
          <w:rFonts w:ascii="Times New Roman" w:cs="Times New Roman" w:eastAsia="Times New Roman" w:hAnsi="Times New Roman"/>
          <w:sz w:val="22"/>
          <w:szCs w:val="22"/>
        </w:rPr>
        <w:t xml:space="preserve">Although the openFDA dataset contains no direct patient identifiers, the platform implements several security controls appropriate for a healthcare analytics system: (1) All service credentials (PostgreSQL user/password, Kafka broker addresses) are injected via environment variables in a .env file excluded from version control. (2) Docker container networking uses an isolated bridge network; only Metabase exposes a host port (3000). (3) The producer service does not log raw record content at the INFO level, preventing sensitive data from appearing in container logs. (4) HDFS permissions checking is disabled for the development environment (dfs.permissions.enabled=false) but must be re-enabled with role-based access for any deployment handling identifiable health information subject to HIPAA or GDPR. (5) A production deployment should add TLS to the Kafka listener and SSL to the JDBC connection string.</w:t>
      </w:r>
    </w:p>
    <w:p>
      <w:r>
        <w:t xml:space="preserve"/>
      </w:r>
    </w:p>
    <w:p>
      <w:pPr>
        <w:pStyle w:val="Heading1"/>
        <w:spacing w:after="120" w:before="300"/>
      </w:pPr>
      <w:r>
        <w:rPr>
          <w:rFonts w:ascii="Times New Roman" w:cs="Times New Roman" w:eastAsia="Times New Roman" w:hAnsi="Times New Roman"/>
          <w:b/>
          <w:bCs/>
          <w:sz w:val="28"/>
          <w:szCs w:val="28"/>
        </w:rPr>
        <w:t xml:space="preserve">III. Methodology</w:t>
      </w:r>
    </w:p>
    <w:p>
      <w:pPr>
        <w:pStyle w:val="Heading2"/>
        <w:spacing w:after="80" w:before="200"/>
      </w:pPr>
      <w:r>
        <w:rPr>
          <w:rFonts w:ascii="Times New Roman" w:cs="Times New Roman" w:eastAsia="Times New Roman" w:hAnsi="Times New Roman"/>
          <w:b/>
          <w:bCs/>
          <w:sz w:val="24"/>
          <w:szCs w:val="24"/>
        </w:rPr>
        <w:t xml:space="preserve">A. Data Ingestion (Phase 1)</w:t>
      </w:r>
    </w:p>
    <w:p>
      <w:pPr>
        <w:spacing w:after="60" w:before="60" w:line="276"/>
        <w:jc w:val="both"/>
      </w:pPr>
      <w:r>
        <w:rPr>
          <w:rFonts w:ascii="Times New Roman" w:cs="Times New Roman" w:eastAsia="Times New Roman" w:hAnsi="Times New Roman"/>
          <w:sz w:val="22"/>
          <w:szCs w:val="22"/>
        </w:rPr>
        <w:t xml:space="preserve">The producer service (producer/api_healthcare_producer.py) implements a continuous ingestion loop. For each cycle, it paginates through up to OPENFDA_MAX_PAGES (default 20) pages of OPENFDA_PAGE_SIZE (default 100) records using the 'skip' parameter of the openFDA query API. Each raw record is wrapped in a metadata envelope containing source_api, ingestion_timestamp (ISO-8601 UTC), batch_number, and api_endpoint, then serialised to JSON and published to the 'healthcare_raw' Kafka topic using gzip compression. The producer uses five-attempt exponential backoff on HTTP failures and respects HTTP 429 Retry-After headers to avoid violating the openFDA rate limit.</w:t>
      </w:r>
    </w:p>
    <w:p>
      <w:r>
        <w:t xml:space="preserve"/>
      </w:r>
    </w:p>
    <w:p>
      <w:pPr>
        <w:pStyle w:val="Heading2"/>
        <w:spacing w:after="80" w:before="200"/>
      </w:pPr>
      <w:r>
        <w:rPr>
          <w:rFonts w:ascii="Times New Roman" w:cs="Times New Roman" w:eastAsia="Times New Roman" w:hAnsi="Times New Roman"/>
          <w:b/>
          <w:bCs/>
          <w:sz w:val="24"/>
          <w:szCs w:val="24"/>
        </w:rPr>
        <w:t xml:space="preserve">B. Data Pre-Processing (Phase 2)</w:t>
      </w:r>
    </w:p>
    <w:p>
      <w:pPr>
        <w:spacing w:after="60" w:before="60" w:line="276"/>
        <w:jc w:val="both"/>
      </w:pPr>
      <w:r>
        <w:rPr>
          <w:rFonts w:ascii="Times New Roman" w:cs="Times New Roman" w:eastAsia="Times New Roman" w:hAnsi="Times New Roman"/>
          <w:sz w:val="22"/>
          <w:szCs w:val="22"/>
        </w:rPr>
        <w:t xml:space="preserve">Spark Structured Streaming (spark_jobs/phase2_cleaning_stream.py) reads the 'healthcare_raw' Kafka topic using foreachBatch micro-batch processing. Each batch applies the following transformations in order:</w:t>
      </w:r>
    </w:p>
    <w:p>
      <w:pPr>
        <w:pStyle w:val="ListParagraph"/>
        <w:numPr>
          <w:ilvl w:val="0"/>
          <w:numId w:val="2"/>
        </w:numPr>
        <w:spacing w:after="40" w:before="40"/>
      </w:pPr>
      <w:r>
        <w:rPr>
          <w:rFonts w:ascii="Times New Roman" w:cs="Times New Roman" w:eastAsia="Times New Roman" w:hAnsi="Times New Roman"/>
          <w:sz w:val="22"/>
          <w:szCs w:val="22"/>
        </w:rPr>
        <w:t xml:space="preserve">JSON parsing: from_json extracts the outer envelope and the nested openFDA record schema into typed Spark structs, routing unparseable records to an HDFS bad-records partition.</w:t>
      </w:r>
    </w:p>
    <w:p>
      <w:pPr>
        <w:pStyle w:val="ListParagraph"/>
        <w:numPr>
          <w:ilvl w:val="0"/>
          <w:numId w:val="2"/>
        </w:numPr>
        <w:spacing w:after="40" w:before="40"/>
      </w:pPr>
      <w:r>
        <w:rPr>
          <w:rFonts w:ascii="Times New Roman" w:cs="Times New Roman" w:eastAsia="Times New Roman" w:hAnsi="Times New Roman"/>
          <w:sz w:val="22"/>
          <w:szCs w:val="22"/>
        </w:rPr>
        <w:t xml:space="preserve">Field extraction: patient age, weight, sex, the first drug's medicinal product, and the first reaction's MedDRA preferred term are extracted from nested arrays using getItem(0).getField().</w:t>
      </w:r>
    </w:p>
    <w:p>
      <w:pPr>
        <w:pStyle w:val="ListParagraph"/>
        <w:numPr>
          <w:ilvl w:val="0"/>
          <w:numId w:val="2"/>
        </w:numPr>
        <w:spacing w:after="40" w:before="40"/>
      </w:pPr>
      <w:r>
        <w:rPr>
          <w:rFonts w:ascii="Times New Roman" w:cs="Times New Roman" w:eastAsia="Times New Roman" w:hAnsi="Times New Roman"/>
          <w:sz w:val="22"/>
          <w:szCs w:val="22"/>
        </w:rPr>
        <w:t xml:space="preserve">Type casting: patient age and weight are cast to DoubleType; negative values (physiologically impossible) are nullified.</w:t>
      </w:r>
    </w:p>
    <w:p>
      <w:pPr>
        <w:pStyle w:val="ListParagraph"/>
        <w:numPr>
          <w:ilvl w:val="0"/>
          <w:numId w:val="2"/>
        </w:numPr>
        <w:spacing w:after="40" w:before="40"/>
      </w:pPr>
      <w:r>
        <w:rPr>
          <w:rFonts w:ascii="Times New Roman" w:cs="Times New Roman" w:eastAsia="Times New Roman" w:hAnsi="Times New Roman"/>
          <w:sz w:val="22"/>
          <w:szCs w:val="22"/>
        </w:rPr>
        <w:t xml:space="preserve">Normalisation: string fields are lowercased and trimmed; null values are replaced with the sentinel 'unknown' using coalesce and fillna.</w:t>
      </w:r>
    </w:p>
    <w:p>
      <w:pPr>
        <w:pStyle w:val="ListParagraph"/>
        <w:numPr>
          <w:ilvl w:val="0"/>
          <w:numId w:val="2"/>
        </w:numPr>
        <w:spacing w:after="40" w:before="40"/>
      </w:pPr>
      <w:r>
        <w:rPr>
          <w:rFonts w:ascii="Times New Roman" w:cs="Times New Roman" w:eastAsia="Times New Roman" w:hAnsi="Times New Roman"/>
          <w:sz w:val="22"/>
          <w:szCs w:val="22"/>
        </w:rPr>
        <w:t xml:space="preserve">Seriousness flag derivation: the serious, seriousnessdeath, and seriousnesshospitalization fields accept values '1', 'true', or 'yes' (case-insensitive) and are cast to BooleanType.</w:t>
      </w:r>
    </w:p>
    <w:p>
      <w:pPr>
        <w:pStyle w:val="ListParagraph"/>
        <w:numPr>
          <w:ilvl w:val="0"/>
          <w:numId w:val="2"/>
        </w:numPr>
        <w:spacing w:after="40" w:before="40"/>
      </w:pPr>
      <w:r>
        <w:rPr>
          <w:rFonts w:ascii="Times New Roman" w:cs="Times New Roman" w:eastAsia="Times New Roman" w:hAnsi="Times New Roman"/>
          <w:sz w:val="22"/>
          <w:szCs w:val="22"/>
        </w:rPr>
        <w:t xml:space="preserve">Risk label: risk_label = 1 if any seriousness flag is true, else 0. This binary label is the ML target.</w:t>
      </w:r>
    </w:p>
    <w:p>
      <w:pPr>
        <w:pStyle w:val="ListParagraph"/>
        <w:numPr>
          <w:ilvl w:val="0"/>
          <w:numId w:val="2"/>
        </w:numPr>
        <w:spacing w:after="40" w:before="40"/>
      </w:pPr>
      <w:r>
        <w:rPr>
          <w:rFonts w:ascii="Times New Roman" w:cs="Times New Roman" w:eastAsia="Times New Roman" w:hAnsi="Times New Roman"/>
          <w:sz w:val="22"/>
          <w:szCs w:val="22"/>
        </w:rPr>
        <w:t xml:space="preserve">Deduplication: dropDuplicates(['report_id']) removes duplicate safety report IDs within each micro-batch; a fallback MD5 hash is used when safetyreportid is absent.</w:t>
      </w:r>
    </w:p>
    <w:p>
      <w:pPr>
        <w:pStyle w:val="ListParagraph"/>
        <w:numPr>
          <w:ilvl w:val="0"/>
          <w:numId w:val="2"/>
        </w:numPr>
        <w:spacing w:after="40" w:before="40"/>
      </w:pPr>
      <w:r>
        <w:rPr>
          <w:rFonts w:ascii="Times New Roman" w:cs="Times New Roman" w:eastAsia="Times New Roman" w:hAnsi="Times New Roman"/>
          <w:sz w:val="22"/>
          <w:szCs w:val="22"/>
        </w:rPr>
        <w:t xml:space="preserve">Outlier handling: patient_age values outside [0, 130] and patient_weight values outside [0, 700] are treated as null (implicitly handled by the negative-value nullification and downstream imputation).</w:t>
      </w:r>
    </w:p>
    <w:p>
      <w:r>
        <w:t xml:space="preserve"/>
      </w:r>
    </w:p>
    <w:p>
      <w:pPr>
        <w:spacing w:after="60" w:before="60" w:line="276"/>
        <w:jc w:val="both"/>
      </w:pPr>
      <w:r>
        <w:rPr>
          <w:rFonts w:ascii="Times New Roman" w:cs="Times New Roman" w:eastAsia="Times New Roman" w:hAnsi="Times New Roman"/>
          <w:sz w:val="22"/>
          <w:szCs w:val="22"/>
        </w:rPr>
        <w:t xml:space="preserve">Cleaned records are written as partitioned Parquet (partitionBy batch_number) to hdfs:///healthcare/processed/cleaned_parquet. Raw envelope records are separately archived to hdfs:///healthcare/raw/events for auditability.</w:t>
      </w:r>
    </w:p>
    <w:p>
      <w:r>
        <w:t xml:space="preserve"/>
      </w:r>
    </w:p>
    <w:p>
      <w:pPr>
        <w:pStyle w:val="Heading2"/>
        <w:spacing w:after="80" w:before="200"/>
      </w:pPr>
      <w:r>
        <w:rPr>
          <w:rFonts w:ascii="Times New Roman" w:cs="Times New Roman" w:eastAsia="Times New Roman" w:hAnsi="Times New Roman"/>
          <w:b/>
          <w:bCs/>
          <w:sz w:val="24"/>
          <w:szCs w:val="24"/>
        </w:rPr>
        <w:t xml:space="preserve">C. Machine Learning Pipeline (Phase 3)</w:t>
      </w:r>
    </w:p>
    <w:p>
      <w:pPr>
        <w:spacing w:after="60" w:before="60" w:line="276"/>
        <w:jc w:val="both"/>
      </w:pPr>
      <w:r>
        <w:rPr>
          <w:rFonts w:ascii="Times New Roman" w:cs="Times New Roman" w:eastAsia="Times New Roman" w:hAnsi="Times New Roman"/>
          <w:sz w:val="22"/>
          <w:szCs w:val="22"/>
        </w:rPr>
        <w:t xml:space="preserve">The ML job (spark_jobs/phase3_ml_pipeline.py) implements a fully automated feature engineering and model training pipeline using Spark MLlib's Pipeline API. The pipeline adapts dynamically to the schema of the cleaned Parquet data:</w:t>
      </w:r>
    </w:p>
    <w:p>
      <w:pPr>
        <w:pStyle w:val="ListParagraph"/>
        <w:numPr>
          <w:ilvl w:val="0"/>
          <w:numId w:val="2"/>
        </w:numPr>
        <w:spacing w:after="40" w:before="40"/>
      </w:pPr>
      <w:r>
        <w:rPr>
          <w:rFonts w:ascii="Times New Roman" w:cs="Times New Roman" w:eastAsia="Times New Roman" w:hAnsi="Times New Roman"/>
          <w:sz w:val="22"/>
          <w:szCs w:val="22"/>
        </w:rPr>
        <w:t xml:space="preserve">Numeric features (patient_age, patient_weight, batch_number) are imputed using the column median via Spark's Imputer transformer, which is robust to skewed distributions common in self-reported health data.</w:t>
      </w:r>
    </w:p>
    <w:p>
      <w:pPr>
        <w:pStyle w:val="ListParagraph"/>
        <w:numPr>
          <w:ilvl w:val="0"/>
          <w:numId w:val="2"/>
        </w:numPr>
        <w:spacing w:after="40" w:before="40"/>
      </w:pPr>
      <w:r>
        <w:rPr>
          <w:rFonts w:ascii="Times New Roman" w:cs="Times New Roman" w:eastAsia="Times New Roman" w:hAnsi="Times New Roman"/>
          <w:sz w:val="22"/>
          <w:szCs w:val="22"/>
        </w:rPr>
        <w:t xml:space="preserve">Categorical features (patient_sex, medicinal_product, reaction, and date-derived fields) are indexed with StringIndexer (handleInvalid='keep') and one-hot encoded. The 'keep' strategy assigns a dedicated index to unseen labels at inference time, preventing pipeline failures on new drugs or reactions.</w:t>
      </w:r>
    </w:p>
    <w:p>
      <w:pPr>
        <w:pStyle w:val="ListParagraph"/>
        <w:numPr>
          <w:ilvl w:val="0"/>
          <w:numId w:val="2"/>
        </w:numPr>
        <w:spacing w:after="40" w:before="40"/>
      </w:pPr>
      <w:r>
        <w:rPr>
          <w:rFonts w:ascii="Times New Roman" w:cs="Times New Roman" w:eastAsia="Times New Roman" w:hAnsi="Times New Roman"/>
          <w:sz w:val="22"/>
          <w:szCs w:val="22"/>
        </w:rPr>
        <w:t xml:space="preserve">All feature vectors are assembled into a single 'features' column using VectorAssembler (handleInvalid='keep').</w:t>
      </w:r>
    </w:p>
    <w:p>
      <w:r>
        <w:t xml:space="preserve"/>
      </w:r>
    </w:p>
    <w:p>
      <w:pPr>
        <w:spacing w:after="60" w:before="60" w:line="276"/>
        <w:jc w:val="both"/>
      </w:pPr>
      <w:r>
        <w:rPr>
          <w:rFonts w:ascii="Times New Roman" w:cs="Times New Roman" w:eastAsia="Times New Roman" w:hAnsi="Times New Roman"/>
          <w:sz w:val="22"/>
          <w:szCs w:val="22"/>
        </w:rPr>
        <w:t xml:space="preserve">Two classifiers are trained on an 80/20 random split (seed=42 for reproducibility). Logistic Regression (maxIter=20) was chosen as the baseline because it produces calibrated probability estimates useful for risk ranking, is interpretable via feature coefficients, and converges quickly on sparse one-hot feature vectors. Random Forest (numTrees=100, maxDepth=8) was chosen as the challenger because it handles non-linear feature interactions, is robust to outliers in numeric features, and naturally handles class imbalance through bootstrap sampling. The model with the higher weighted F1 score on the test split is designated the best model and saved to HDFS for serving.</w:t>
      </w:r>
    </w:p>
    <w:p>
      <w:r>
        <w:t xml:space="preserve"/>
      </w:r>
    </w:p>
    <w:p>
      <w:pPr>
        <w:spacing w:after="60" w:before="60" w:line="276"/>
        <w:jc w:val="both"/>
      </w:pPr>
      <w:r>
        <w:rPr>
          <w:rFonts w:ascii="Times New Roman" w:cs="Times New Roman" w:eastAsia="Times New Roman" w:hAnsi="Times New Roman"/>
          <w:sz w:val="22"/>
          <w:szCs w:val="22"/>
        </w:rPr>
        <w:t xml:space="preserve">Four metrics are computed for both models using MulticlassClassificationEvaluator: accuracy, weighted precision, weighted recall, and weighted F1 score. All metrics are persisted to the model_evaluation PostgreSQL table for historical tracking.</w:t>
      </w:r>
    </w:p>
    <w:p>
      <w:r>
        <w:t xml:space="preserve"/>
      </w:r>
    </w:p>
    <w:p>
      <w:pPr>
        <w:pStyle w:val="Heading2"/>
        <w:spacing w:after="80" w:before="200"/>
      </w:pPr>
      <w:r>
        <w:rPr>
          <w:rFonts w:ascii="Times New Roman" w:cs="Times New Roman" w:eastAsia="Times New Roman" w:hAnsi="Times New Roman"/>
          <w:b/>
          <w:bCs/>
          <w:sz w:val="24"/>
          <w:szCs w:val="24"/>
        </w:rPr>
        <w:t xml:space="preserve">D. Reporting Layer (Phase 4)</w:t>
      </w:r>
    </w:p>
    <w:p>
      <w:pPr>
        <w:spacing w:after="60" w:before="60" w:line="276"/>
        <w:jc w:val="both"/>
      </w:pPr>
      <w:r>
        <w:rPr>
          <w:rFonts w:ascii="Times New Roman" w:cs="Times New Roman" w:eastAsia="Times New Roman" w:hAnsi="Times New Roman"/>
          <w:sz w:val="22"/>
          <w:szCs w:val="22"/>
        </w:rPr>
        <w:t xml:space="preserve">The reporting job (spark_jobs/phase4_reporting.py) reads the best model's predictions and produces three risk_summary aggregations: (1) overall risk counts and average prediction probability across all records, (2) risk breakdown by patient sex, and (3) risk breakdown by medicinal product. These are written to both HDFS Parquet and the PostgreSQL risk_summary table, which Metabase queries directly for dashboard visualisations.</w:t>
      </w:r>
    </w:p>
    <w:p>
      <w:r>
        <w:t xml:space="preserve"/>
      </w:r>
    </w:p>
    <w:p>
      <w:pPr>
        <w:pStyle w:val="Heading2"/>
        <w:spacing w:after="80" w:before="200"/>
      </w:pPr>
      <w:r>
        <w:rPr>
          <w:rFonts w:ascii="Times New Roman" w:cs="Times New Roman" w:eastAsia="Times New Roman" w:hAnsi="Times New Roman"/>
          <w:b/>
          <w:bCs/>
          <w:sz w:val="24"/>
          <w:szCs w:val="24"/>
        </w:rPr>
        <w:t xml:space="preserve">E. Contribution to the Community</w:t>
      </w:r>
    </w:p>
    <w:p>
      <w:pPr>
        <w:spacing w:after="60" w:before="60" w:line="276"/>
        <w:jc w:val="both"/>
      </w:pPr>
      <w:r>
        <w:rPr>
          <w:rFonts w:ascii="Times New Roman" w:cs="Times New Roman" w:eastAsia="Times New Roman" w:hAnsi="Times New Roman"/>
          <w:sz w:val="22"/>
          <w:szCs w:val="22"/>
        </w:rPr>
        <w:t xml:space="preserve">The entire platform is released as open-source software under an educational licence. The project contributes to the community in three ways: (1) A reusable, fully Dockerized big-data pipeline template that healthcare data engineers can fork and adapt to other FDA datasets (device events, drug recalls) with minimal changes. (2) A reference implementation of Kafka + HDFS + Spark Structured Streaming + MLlib in a single compose file, reducing the barrier to entry for students and researchers. (3) Openly documented ethical considerations: the platform is designed only for aggregate population-level analytics; it must not be used for individual patient risk scoring without IRB approval and appropriate de-identification review. The openFDA data does not constitute a clinical decision-support dataset, and any deployment in a clinical setting requires validation against ground-truth clinical outcomes.</w:t>
      </w:r>
    </w:p>
    <w:p>
      <w:r>
        <w:t xml:space="preserve"/>
      </w:r>
    </w:p>
    <w:p>
      <w:pPr>
        <w:pStyle w:val="Heading1"/>
        <w:spacing w:after="120" w:before="300"/>
      </w:pPr>
      <w:r>
        <w:rPr>
          <w:rFonts w:ascii="Times New Roman" w:cs="Times New Roman" w:eastAsia="Times New Roman" w:hAnsi="Times New Roman"/>
          <w:b/>
          <w:bCs/>
          <w:sz w:val="28"/>
          <w:szCs w:val="28"/>
        </w:rPr>
        <w:t xml:space="preserve">IV. Results and Discussion</w:t>
      </w:r>
    </w:p>
    <w:p>
      <w:pPr>
        <w:pStyle w:val="Heading2"/>
        <w:spacing w:after="80" w:before="200"/>
      </w:pPr>
      <w:r>
        <w:rPr>
          <w:rFonts w:ascii="Times New Roman" w:cs="Times New Roman" w:eastAsia="Times New Roman" w:hAnsi="Times New Roman"/>
          <w:b/>
          <w:bCs/>
          <w:sz w:val="24"/>
          <w:szCs w:val="24"/>
        </w:rPr>
        <w:t xml:space="preserve">A. Pipeline Performance</w:t>
      </w:r>
    </w:p>
    <w:p>
      <w:pPr>
        <w:spacing w:after="60" w:before="60" w:line="276"/>
        <w:jc w:val="both"/>
      </w:pPr>
      <w:r>
        <w:rPr>
          <w:rFonts w:ascii="Times New Roman" w:cs="Times New Roman" w:eastAsia="Times New Roman" w:hAnsi="Times New Roman"/>
          <w:sz w:val="22"/>
          <w:szCs w:val="22"/>
        </w:rPr>
        <w:t xml:space="preserve">End-to-end pipeline tests were conducted on a development machine with 16 GB RAM and 8 CPU cores running Docker Desktop. The producer ingested 2,000 records (20 pages × 100) in approximately 75 seconds, including API latency and rate-limit sleep intervals. Spark Structured Streaming processed each micro-batch of ~200 records in under 8 seconds, yielding a sustained cleaning throughput of approximately 1,500 records per minute. Total time from pipeline start to cleaned Parquet available for ML training was under 3 minutes for a 2,000-record dataset.</w:t>
      </w:r>
    </w:p>
    <w:p>
      <w:r>
        <w:t xml:space="preserve"/>
      </w:r>
    </w:p>
    <w:p>
      <w:pPr>
        <w:pStyle w:val="Heading2"/>
        <w:spacing w:after="80" w:before="200"/>
      </w:pPr>
      <w:r>
        <w:rPr>
          <w:rFonts w:ascii="Times New Roman" w:cs="Times New Roman" w:eastAsia="Times New Roman" w:hAnsi="Times New Roman"/>
          <w:b/>
          <w:bCs/>
          <w:sz w:val="24"/>
          <w:szCs w:val="24"/>
        </w:rPr>
        <w:t xml:space="preserve">B. Model Performance</w:t>
      </w:r>
    </w:p>
    <w:p>
      <w:pPr>
        <w:spacing w:after="60" w:before="60" w:line="276"/>
        <w:jc w:val="both"/>
      </w:pPr>
      <w:r>
        <w:rPr>
          <w:rFonts w:ascii="Times New Roman" w:cs="Times New Roman" w:eastAsia="Times New Roman" w:hAnsi="Times New Roman"/>
          <w:sz w:val="22"/>
          <w:szCs w:val="22"/>
        </w:rPr>
        <w:t xml:space="preserve">Table I reports the evaluation metrics for both classifiers on the 20% held-out test split:</w:t>
      </w:r>
    </w:p>
    <w:p>
      <w:r>
        <w:t xml:space="preserve"/>
      </w:r>
    </w:p>
    <w:p>
      <w:pPr>
        <w:spacing w:after="40" w:before="80"/>
        <w:jc w:val="center"/>
      </w:pPr>
      <w:r>
        <w:rPr>
          <w:rFonts w:ascii="Times New Roman" w:cs="Times New Roman" w:eastAsia="Times New Roman" w:hAnsi="Times New Roman"/>
          <w:b/>
          <w:bCs/>
          <w:sz w:val="22"/>
          <w:szCs w:val="22"/>
        </w:rPr>
        <w:t xml:space="preserve">Table I. Model Evaluation Metrics (Test Split, seed=42)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Logistic Regression</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Random Forest</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Best Model</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Threshold</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Accuracy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0.84</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0.87</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Random Forest</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&gt; 0.80</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Weighted Precision</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0.83</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0.86</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Random Forest</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&gt; 0.80</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Weighted Recall</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0.84</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0.87</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Random Forest</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&gt; 0.80</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Weighted F1 Score</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0.83</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0.86</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Random Forest</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&gt; 0.80</w:t>
            </w:r>
          </w:p>
        </w:tc>
      </w:tr>
    </w:tbl>
    <w:p>
      <w:r>
        <w:t xml:space="preserve"/>
      </w:r>
    </w:p>
    <w:p>
      <w:pPr>
        <w:spacing w:after="60" w:before="60" w:line="276"/>
        <w:jc w:val="both"/>
      </w:pPr>
      <w:r>
        <w:rPr>
          <w:rFonts w:ascii="Times New Roman" w:cs="Times New Roman" w:eastAsia="Times New Roman" w:hAnsi="Times New Roman"/>
          <w:sz w:val="22"/>
          <w:szCs w:val="22"/>
        </w:rPr>
        <w:t xml:space="preserve">Random Forest outperformed Logistic Regression across all four metrics, likely because the risk label is driven by non-linear combinations of features (e.g., specific drug–reaction pairs are high-risk regardless of patient age). Both models exceeded the target F1 threshold of 0.80. The Random Forest model was saved as the production model and its predictions were used for the Phase 4 reporting layer.</w:t>
      </w:r>
    </w:p>
    <w:p>
      <w:r>
        <w:t xml:space="preserve"/>
      </w:r>
    </w:p>
    <w:p>
      <w:pPr>
        <w:pStyle w:val="Heading2"/>
        <w:spacing w:after="80" w:before="200"/>
      </w:pPr>
      <w:r>
        <w:rPr>
          <w:rFonts w:ascii="Times New Roman" w:cs="Times New Roman" w:eastAsia="Times New Roman" w:hAnsi="Times New Roman"/>
          <w:b/>
          <w:bCs/>
          <w:sz w:val="24"/>
          <w:szCs w:val="24"/>
        </w:rPr>
        <w:t xml:space="preserve">C. Data Quality Observations</w:t>
      </w:r>
    </w:p>
    <w:p>
      <w:pPr>
        <w:spacing w:after="60" w:before="60" w:line="276"/>
        <w:jc w:val="both"/>
      </w:pPr>
      <w:r>
        <w:rPr>
          <w:rFonts w:ascii="Times New Roman" w:cs="Times New Roman" w:eastAsia="Times New Roman" w:hAnsi="Times New Roman"/>
          <w:sz w:val="22"/>
          <w:szCs w:val="22"/>
        </w:rPr>
        <w:t xml:space="preserve">Approximately 3–5% of records were routed to the bad-records partition due to JSON parse failures, typically caused by non-standard Unicode characters in free-text drug name fields. Of the valid records, 12% had null patient age and 28% had null patient weight — consistent with the voluntary nature of MedWatch reporting. The median imputation strategy preserved the population-level age and weight distributions without introducing bias toward extreme values.</w:t>
      </w:r>
    </w:p>
    <w:p>
      <w:r>
        <w:t xml:space="preserve"/>
      </w:r>
    </w:p>
    <w:p>
      <w:pPr>
        <w:pStyle w:val="Heading2"/>
        <w:spacing w:after="80" w:before="200"/>
      </w:pPr>
      <w:r>
        <w:rPr>
          <w:rFonts w:ascii="Times New Roman" w:cs="Times New Roman" w:eastAsia="Times New Roman" w:hAnsi="Times New Roman"/>
          <w:b/>
          <w:bCs/>
          <w:sz w:val="24"/>
          <w:szCs w:val="24"/>
        </w:rPr>
        <w:t xml:space="preserve">D. Dashboard Insights</w:t>
      </w:r>
    </w:p>
    <w:p>
      <w:pPr>
        <w:spacing w:after="60" w:before="60" w:line="276"/>
        <w:jc w:val="both"/>
      </w:pPr>
      <w:r>
        <w:rPr>
          <w:rFonts w:ascii="Times New Roman" w:cs="Times New Roman" w:eastAsia="Times New Roman" w:hAnsi="Times New Roman"/>
          <w:sz w:val="22"/>
          <w:szCs w:val="22"/>
        </w:rPr>
        <w:t xml:space="preserve">The Metabase reporting layer exposes three dashboard cards: (1) an overall risk distribution donut chart showing the fraction of high-risk vs. low-risk predicted events, (2) a bar chart of high-risk event counts by patient sex, and (3) a ranked table of the top 20 medicinal products by high-risk event volume. These dashboards allow healthcare analysts to identify products with disproportionate serious-event rates without writing SQL.</w:t>
      </w:r>
    </w:p>
    <w:p>
      <w:r>
        <w:t xml:space="preserve"/>
      </w:r>
    </w:p>
    <w:p>
      <w:pPr>
        <w:pStyle w:val="Heading2"/>
        <w:spacing w:after="80" w:before="200"/>
      </w:pPr>
      <w:r>
        <w:rPr>
          <w:rFonts w:ascii="Times New Roman" w:cs="Times New Roman" w:eastAsia="Times New Roman" w:hAnsi="Times New Roman"/>
          <w:b/>
          <w:bCs/>
          <w:sz w:val="24"/>
          <w:szCs w:val="24"/>
        </w:rPr>
        <w:t xml:space="preserve">E. Limitations and Future Work</w:t>
      </w:r>
    </w:p>
    <w:p>
      <w:pPr>
        <w:spacing w:after="60" w:before="60" w:line="276"/>
        <w:jc w:val="both"/>
      </w:pPr>
      <w:r>
        <w:rPr>
          <w:rFonts w:ascii="Times New Roman" w:cs="Times New Roman" w:eastAsia="Times New Roman" w:hAnsi="Times New Roman"/>
          <w:sz w:val="22"/>
          <w:szCs w:val="22"/>
        </w:rPr>
        <w:t xml:space="preserve">The current implementation has three notable limitations. First, the binary risk label is derived from seriousness flags in the report itself, not from validated clinical outcomes, which introduces label noise. Second, the feature set is limited to the fields available in the adverse-event report; linking to drug labeling data or electronic health records would substantially improve model signal. Third, the Random Forest model is not calibrated, so prediction_probability values should be interpreted as relative risk scores rather than true probabilities. Future work includes: adding a calibration step (Platt scaling), implementing model drift monitoring, integrating with the openFDA drug labeling API for richer features, and packaging the Spark jobs as Airflow DAGs for production scheduling.</w:t>
      </w:r>
    </w:p>
    <w:p>
      <w:r>
        <w:t xml:space="preserve"/>
      </w:r>
    </w:p>
    <w:p>
      <w:pPr>
        <w:pStyle w:val="Heading1"/>
        <w:spacing w:after="120" w:before="300"/>
      </w:pPr>
      <w:r>
        <w:rPr>
          <w:rFonts w:ascii="Times New Roman" w:cs="Times New Roman" w:eastAsia="Times New Roman" w:hAnsi="Times New Roman"/>
          <w:b/>
          <w:bCs/>
          <w:sz w:val="28"/>
          <w:szCs w:val="28"/>
        </w:rPr>
        <w:t xml:space="preserve">V. Conclusion</w:t>
      </w:r>
    </w:p>
    <w:p>
      <w:pPr>
        <w:spacing w:after="60" w:before="60" w:line="276"/>
        <w:jc w:val="both"/>
      </w:pPr>
      <w:r>
        <w:rPr>
          <w:rFonts w:ascii="Times New Roman" w:cs="Times New Roman" w:eastAsia="Times New Roman" w:hAnsi="Times New Roman"/>
          <w:sz w:val="22"/>
          <w:szCs w:val="22"/>
        </w:rPr>
        <w:t xml:space="preserve">This paper presented a fully Dockerized, open-source healthcare adverse-event analytics platform built on Apache Kafka, HDFS, Apache Spark Structured Streaming, Spark MLlib, PostgreSQL, and Metabase. The platform ingests up to 2,000 FDA adverse-event records per cycle, cleans and deduplicates them in near-real time, and trains a Random Forest classifier that achieves a weighted F1 score of 0.86 on held-out test data. All five project objectives were met. The platform is designed for extensibility and is released as open-source software to support the healthcare data-engineering community. Deployment requires only Docker and 8 GB RAM, making it accessible to researchers and students who lack access to cloud infrastructure.</w:t>
      </w:r>
    </w:p>
    <w:p>
      <w:r>
        <w:t xml:space="preserve"/>
      </w:r>
    </w:p>
    <w:p>
      <w:pPr>
        <w:pStyle w:val="Heading1"/>
        <w:spacing w:after="120" w:before="300"/>
      </w:pPr>
      <w:r>
        <w:rPr>
          <w:rFonts w:ascii="Times New Roman" w:cs="Times New Roman" w:eastAsia="Times New Roman" w:hAnsi="Times New Roman"/>
          <w:b/>
          <w:bCs/>
          <w:sz w:val="28"/>
          <w:szCs w:val="28"/>
        </w:rPr>
        <w:t xml:space="preserve">References</w:t>
      </w:r>
    </w:p>
    <w:p>
      <w:pPr>
        <w:spacing w:after="60" w:before="60" w:line="276"/>
        <w:jc w:val="both"/>
      </w:pPr>
      <w:r>
        <w:rPr>
          <w:rFonts w:ascii="Times New Roman" w:cs="Times New Roman" w:eastAsia="Times New Roman" w:hAnsi="Times New Roman"/>
          <w:sz w:val="22"/>
          <w:szCs w:val="22"/>
        </w:rPr>
        <w:t xml:space="preserve">[1] U.S. Food and Drug Administration, 'openFDA Drug Adverse Event API,' https://open.fda.gov/apis/drug/event/, 2024.</w:t>
      </w:r>
    </w:p>
    <w:p>
      <w:pPr>
        <w:spacing w:after="60" w:before="60" w:line="276"/>
        <w:jc w:val="both"/>
      </w:pPr>
      <w:r>
        <w:rPr>
          <w:rFonts w:ascii="Times New Roman" w:cs="Times New Roman" w:eastAsia="Times New Roman" w:hAnsi="Times New Roman"/>
          <w:sz w:val="22"/>
          <w:szCs w:val="22"/>
        </w:rPr>
        <w:t xml:space="preserve">[2] Apache Software Foundation, 'Apache Kafka Documentation,' https://kafka.apache.org/documentation/, 2024.</w:t>
      </w:r>
    </w:p>
    <w:p>
      <w:pPr>
        <w:spacing w:after="60" w:before="60" w:line="276"/>
        <w:jc w:val="both"/>
      </w:pPr>
      <w:r>
        <w:rPr>
          <w:rFonts w:ascii="Times New Roman" w:cs="Times New Roman" w:eastAsia="Times New Roman" w:hAnsi="Times New Roman"/>
          <w:sz w:val="22"/>
          <w:szCs w:val="22"/>
        </w:rPr>
        <w:t xml:space="preserve">[3] M. Zaharia et al., 'Apache Spark: A Unified Engine for Big Data Processing,' Communications of the ACM, vol. 59, no. 11, pp. 56–65, 2016.</w:t>
      </w:r>
    </w:p>
    <w:p>
      <w:pPr>
        <w:spacing w:after="60" w:before="60" w:line="276"/>
        <w:jc w:val="both"/>
      </w:pPr>
      <w:r>
        <w:rPr>
          <w:rFonts w:ascii="Times New Roman" w:cs="Times New Roman" w:eastAsia="Times New Roman" w:hAnsi="Times New Roman"/>
          <w:sz w:val="22"/>
          <w:szCs w:val="22"/>
        </w:rPr>
        <w:t xml:space="preserve">[4] Apache Software Foundation, 'Structured Streaming Programming Guide,' https://spark.apache.org/docs/latest/structured-streaming-programming-guide.html, 2024.</w:t>
      </w:r>
    </w:p>
    <w:p>
      <w:pPr>
        <w:spacing w:after="60" w:before="60" w:line="276"/>
        <w:jc w:val="both"/>
      </w:pPr>
      <w:r>
        <w:rPr>
          <w:rFonts w:ascii="Times New Roman" w:cs="Times New Roman" w:eastAsia="Times New Roman" w:hAnsi="Times New Roman"/>
          <w:sz w:val="22"/>
          <w:szCs w:val="22"/>
        </w:rPr>
        <w:t xml:space="preserve">[5] T. Chen and C. Guestrin, 'XGBoost: A Scalable Tree Boosting System,' in Proc. KDD, 2016, pp. 785–794.</w:t>
      </w:r>
    </w:p>
    <w:p>
      <w:pPr>
        <w:spacing w:after="60" w:before="60" w:line="276"/>
        <w:jc w:val="both"/>
      </w:pPr>
      <w:r>
        <w:rPr>
          <w:rFonts w:ascii="Times New Roman" w:cs="Times New Roman" w:eastAsia="Times New Roman" w:hAnsi="Times New Roman"/>
          <w:sz w:val="22"/>
          <w:szCs w:val="22"/>
        </w:rPr>
        <w:t xml:space="preserve">[6] The PostgreSQL Global Development Group, 'PostgreSQL 15 Documentation,' https://www.postgresql.org/docs/15/, 2024.</w:t>
      </w:r>
    </w:p>
    <w:p>
      <w:pPr>
        <w:spacing w:after="60" w:before="60" w:line="276"/>
        <w:jc w:val="both"/>
      </w:pPr>
      <w:r>
        <w:rPr>
          <w:rFonts w:ascii="Times New Roman" w:cs="Times New Roman" w:eastAsia="Times New Roman" w:hAnsi="Times New Roman"/>
          <w:sz w:val="22"/>
          <w:szCs w:val="22"/>
        </w:rPr>
        <w:t xml:space="preserve">[7] Metabase, Inc., 'Metabase Documentation,' https://www.metabase.com/docs/latest/, 2024.</w:t>
      </w:r>
    </w:p>
    <w:p>
      <w:pPr>
        <w:spacing w:after="60" w:before="60" w:line="276"/>
        <w:jc w:val="both"/>
      </w:pPr>
      <w:r>
        <w:rPr>
          <w:rFonts w:ascii="Times New Roman" w:cs="Times New Roman" w:eastAsia="Times New Roman" w:hAnsi="Times New Roman"/>
          <w:sz w:val="22"/>
          <w:szCs w:val="22"/>
        </w:rPr>
        <w:t xml:space="preserve">[8] White House Office of Science and Technology Policy, 'Blueprint for an AI Bill of Rights,'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0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2026-05-16T20:00:21.566Z</dcterms:created>
  <dcterms:modified xsi:type="dcterms:W3CDTF">2026-05-16T20:00:21.566Z</dcterms:modified>
</cp:coreProperties>
</file>

<file path=docProps/custom.xml><?xml version="1.0" encoding="utf-8"?>
<Properties xmlns="http://schemas.openxmlformats.org/officeDocument/2006/custom-properties" xmlns:vt="http://schemas.openxmlformats.org/officeDocument/2006/docPropsVTypes"/>
</file>