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rFonts w:ascii="Calibri" w:hAnsi="Calibri"/>
          <w:b/>
          <w:color w:val="12304A"/>
          <w:sz w:val="58"/>
        </w:rPr>
        <w:t>IBM TechQA RAG</w:t>
        <w:br/>
        <w:t>Progress and Evaluation</w:t>
      </w:r>
    </w:p>
    <w:p>
      <w:pPr>
        <w:jc w:val="center"/>
      </w:pPr>
      <w:r>
        <w:rPr>
          <w:i/>
          <w:color w:val="087E8B"/>
          <w:sz w:val="24"/>
        </w:rPr>
        <w:t>A detailed guide to the work completed after the Implementation Comparison</w:t>
      </w:r>
    </w:p>
    <w:p>
      <w:r>
        <w:br/>
      </w:r>
    </w:p>
    <w:tbl>
      <w:tblPr>
        <w:tblStyle w:val="TableGrid"/>
        <w:tblW w:type="auto" w:w="0"/>
        <w:tblLook w:firstColumn="1" w:firstRow="1" w:lastColumn="0" w:lastRow="0" w:noHBand="0" w:noVBand="1" w:val="04A0"/>
      </w:tblPr>
      <w:tblGrid>
        <w:gridCol w:w="10166"/>
      </w:tblGrid>
      <w:tr>
        <w:tc>
          <w:tcPr>
            <w:tcW w:type="dxa" w:w="10166"/>
            <w:shd w:fill="E6F3F3"/>
          </w:tcPr>
          <w:p>
            <w:pPr>
              <w:spacing w:after="60"/>
            </w:pPr>
            <w:r/>
            <w:r>
              <w:rPr>
                <w:b/>
                <w:color w:val="087E8B"/>
              </w:rPr>
              <w:t xml:space="preserve">Purpose  </w:t>
            </w:r>
            <w:r>
              <w:t>Explain the later implementation, experiments, measured results, failure analysis, and realistic future directions in plain language. This is a learning and interview reference, not a claim that the system is production-grade or state of the art.</w:t>
            </w:r>
          </w:p>
        </w:tc>
      </w:tr>
    </w:tbl>
    <w:p>
      <w:pPr>
        <w:spacing w:after="20"/>
      </w:pPr>
    </w:p>
    <w:p>
      <w:r>
        <w:br/>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20"/>
            </w:pPr>
            <w:r/>
            <w:r>
              <w:rPr>
                <w:rFonts w:ascii="Calibri" w:hAnsi="Calibri"/>
                <w:b/>
                <w:color w:val="FFFFFF"/>
                <w:sz w:val="16"/>
              </w:rPr>
              <w:t>At a glance</w:t>
            </w:r>
          </w:p>
        </w:tc>
        <w:tc>
          <w:tcPr>
            <w:tcW w:type="dxa" w:w="8064"/>
            <w:vAlign w:val="center"/>
            <w:shd w:fill="12304A"/>
          </w:tcPr>
          <w:p>
            <w:pPr>
              <w:spacing w:after="20"/>
            </w:pPr>
            <w:r/>
            <w:r>
              <w:rPr>
                <w:rFonts w:ascii="Calibri" w:hAnsi="Calibri"/>
                <w:b/>
                <w:color w:val="FFFFFF"/>
                <w:sz w:val="16"/>
              </w:rPr>
              <w:t>Verified project facts</w:t>
            </w:r>
          </w:p>
        </w:tc>
      </w:tr>
      <w:tr>
        <w:tc>
          <w:tcPr>
            <w:tcW w:type="dxa" w:w="2232"/>
            <w:vAlign w:val="center"/>
          </w:tcPr>
          <w:p>
            <w:pPr>
              <w:spacing w:after="20"/>
            </w:pPr>
            <w:r/>
            <w:r>
              <w:rPr>
                <w:rFonts w:ascii="Calibri" w:hAnsi="Calibri"/>
                <w:b w:val="0"/>
                <w:sz w:val="16"/>
              </w:rPr>
              <w:t>Knowledge base</w:t>
            </w:r>
          </w:p>
        </w:tc>
        <w:tc>
          <w:tcPr>
            <w:tcW w:type="dxa" w:w="8064"/>
            <w:vAlign w:val="center"/>
          </w:tcPr>
          <w:p>
            <w:pPr>
              <w:spacing w:after="20"/>
            </w:pPr>
            <w:r/>
            <w:r>
              <w:rPr>
                <w:rFonts w:ascii="Calibri" w:hAnsi="Calibri"/>
                <w:b w:val="0"/>
                <w:sz w:val="16"/>
              </w:rPr>
              <w:t>28,482 IBM technical notes; 194,929 V2 chunks</w:t>
            </w:r>
          </w:p>
        </w:tc>
      </w:tr>
      <w:tr>
        <w:tc>
          <w:tcPr>
            <w:tcW w:type="dxa" w:w="2232"/>
            <w:vAlign w:val="center"/>
            <w:shd w:fill="EEF4F6"/>
          </w:tcPr>
          <w:p>
            <w:pPr>
              <w:spacing w:after="20"/>
            </w:pPr>
            <w:r/>
            <w:r>
              <w:rPr>
                <w:rFonts w:ascii="Calibri" w:hAnsi="Calibri"/>
                <w:b w:val="0"/>
                <w:sz w:val="16"/>
              </w:rPr>
              <w:t>Development set</w:t>
            </w:r>
          </w:p>
        </w:tc>
        <w:tc>
          <w:tcPr>
            <w:tcW w:type="dxa" w:w="8064"/>
            <w:vAlign w:val="center"/>
            <w:shd w:fill="EEF4F6"/>
          </w:tcPr>
          <w:p>
            <w:pPr>
              <w:spacing w:after="20"/>
            </w:pPr>
            <w:r/>
            <w:r>
              <w:rPr>
                <w:rFonts w:ascii="Calibri" w:hAnsi="Calibri"/>
                <w:b w:val="0"/>
                <w:sz w:val="16"/>
              </w:rPr>
              <w:t>160 answerable questions; 158 non-empty references</w:t>
            </w:r>
          </w:p>
        </w:tc>
      </w:tr>
      <w:tr>
        <w:tc>
          <w:tcPr>
            <w:tcW w:type="dxa" w:w="2232"/>
            <w:vAlign w:val="center"/>
          </w:tcPr>
          <w:p>
            <w:pPr>
              <w:spacing w:after="20"/>
            </w:pPr>
            <w:r/>
            <w:r>
              <w:rPr>
                <w:rFonts w:ascii="Calibri" w:hAnsi="Calibri"/>
                <w:b w:val="0"/>
                <w:sz w:val="16"/>
              </w:rPr>
              <w:t>Retrieval setup</w:t>
            </w:r>
          </w:p>
        </w:tc>
        <w:tc>
          <w:tcPr>
            <w:tcW w:type="dxa" w:w="8064"/>
            <w:vAlign w:val="center"/>
          </w:tcPr>
          <w:p>
            <w:pPr>
              <w:spacing w:after="20"/>
            </w:pPr>
            <w:r/>
            <w:r>
              <w:rPr>
                <w:rFonts w:ascii="Calibri" w:hAnsi="Calibri"/>
                <w:b w:val="0"/>
                <w:sz w:val="16"/>
              </w:rPr>
              <w:t>Hybrid BGE-M3 + BM25/title BM25 with rank fusion; fixed top-20 candidates used for downstream V2 context experiments</w:t>
            </w:r>
          </w:p>
        </w:tc>
      </w:tr>
      <w:tr>
        <w:tc>
          <w:tcPr>
            <w:tcW w:type="dxa" w:w="2232"/>
            <w:vAlign w:val="center"/>
            <w:shd w:fill="EEF4F6"/>
          </w:tcPr>
          <w:p>
            <w:pPr>
              <w:spacing w:after="20"/>
            </w:pPr>
            <w:r/>
            <w:r>
              <w:rPr>
                <w:rFonts w:ascii="Calibri" w:hAnsi="Calibri"/>
                <w:b w:val="0"/>
                <w:sz w:val="16"/>
              </w:rPr>
              <w:t>Generators evaluated</w:t>
            </w:r>
          </w:p>
        </w:tc>
        <w:tc>
          <w:tcPr>
            <w:tcW w:type="dxa" w:w="8064"/>
            <w:vAlign w:val="center"/>
            <w:shd w:fill="EEF4F6"/>
          </w:tcPr>
          <w:p>
            <w:pPr>
              <w:spacing w:after="20"/>
            </w:pPr>
            <w:r/>
            <w:r>
              <w:rPr>
                <w:rFonts w:ascii="Calibri" w:hAnsi="Calibri"/>
                <w:b w:val="0"/>
                <w:sz w:val="16"/>
              </w:rPr>
              <w:t>Qwen2.5-1.5B-Instruct and Gemini 3.5 Flash Lite</w:t>
            </w:r>
          </w:p>
        </w:tc>
      </w:tr>
      <w:tr>
        <w:tc>
          <w:tcPr>
            <w:tcW w:type="dxa" w:w="2232"/>
            <w:vAlign w:val="center"/>
          </w:tcPr>
          <w:p>
            <w:pPr>
              <w:spacing w:after="20"/>
            </w:pPr>
            <w:r/>
            <w:r>
              <w:rPr>
                <w:rFonts w:ascii="Calibri" w:hAnsi="Calibri"/>
                <w:b w:val="0"/>
                <w:sz w:val="16"/>
              </w:rPr>
              <w:t>Main lesson</w:t>
            </w:r>
          </w:p>
        </w:tc>
        <w:tc>
          <w:tcPr>
            <w:tcW w:type="dxa" w:w="8064"/>
            <w:vAlign w:val="center"/>
          </w:tcPr>
          <w:p>
            <w:pPr>
              <w:spacing w:after="20"/>
            </w:pPr>
            <w:r/>
            <w:r>
              <w:rPr>
                <w:rFonts w:ascii="Calibri" w:hAnsi="Calibri"/>
                <w:b w:val="0"/>
                <w:sz w:val="16"/>
              </w:rPr>
              <w:t>Finding the right document is necessary, but selecting the answer-bearing passage and using it correctly are separate challenges.</w:t>
            </w:r>
          </w:p>
        </w:tc>
      </w:tr>
    </w:tbl>
    <w:p>
      <w:pPr>
        <w:spacing w:after="20"/>
      </w:pPr>
    </w:p>
    <w:p>
      <w:r>
        <w:t>Prepared as a follow-on to IBM_TechQA_Implementation_Comparison.docx. Results below are transcribed from saved code and artifacts in the project; caveats are called out beside each result.</w:t>
      </w:r>
    </w:p>
    <w:p>
      <w:r>
        <w:br w:type="page"/>
      </w:r>
    </w:p>
    <w:p>
      <w:pPr>
        <w:pStyle w:val="Heading1"/>
      </w:pPr>
      <w:r>
        <w:t>How to read this guide</w:t>
      </w:r>
    </w:p>
    <w:p>
      <w:r>
        <w:t>The earlier comparison report explains the shift from the initial pipeline to V2. This guide continues from that point: it covers the completed V2 retrieval/context work, generation comparisons, semantic and factuality evaluation, manual-review pilot, question-level failure attribution, and a bounded future-scope plan.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04A"/>
          </w:tcPr>
          <w:p>
            <w:pPr>
              <w:spacing w:after="20"/>
            </w:pPr>
            <w:r/>
            <w:r>
              <w:rPr>
                <w:rFonts w:ascii="Calibri" w:hAnsi="Calibri"/>
                <w:b/>
                <w:color w:val="FFFFFF"/>
                <w:sz w:val="16"/>
              </w:rPr>
              <w:t>Label</w:t>
            </w:r>
          </w:p>
        </w:tc>
        <w:tc>
          <w:tcPr>
            <w:tcW w:type="dxa" w:w="5083"/>
            <w:vAlign w:val="center"/>
            <w:shd w:fill="12304A"/>
          </w:tcPr>
          <w:p>
            <w:pPr>
              <w:spacing w:after="20"/>
            </w:pPr>
            <w:r/>
            <w:r>
              <w:rPr>
                <w:rFonts w:ascii="Calibri" w:hAnsi="Calibri"/>
                <w:b/>
                <w:color w:val="FFFFFF"/>
                <w:sz w:val="16"/>
              </w:rPr>
              <w:t>Meaning</w:t>
            </w:r>
          </w:p>
        </w:tc>
      </w:tr>
      <w:tr>
        <w:tc>
          <w:tcPr>
            <w:tcW w:type="dxa" w:w="5083"/>
            <w:vAlign w:val="center"/>
          </w:tcPr>
          <w:p>
            <w:pPr>
              <w:spacing w:after="20"/>
            </w:pPr>
            <w:r/>
            <w:r>
              <w:rPr>
                <w:rFonts w:ascii="Calibri" w:hAnsi="Calibri"/>
                <w:b w:val="0"/>
                <w:sz w:val="16"/>
              </w:rPr>
              <w:t>VERIFIED</w:t>
            </w:r>
          </w:p>
        </w:tc>
        <w:tc>
          <w:tcPr>
            <w:tcW w:type="dxa" w:w="5083"/>
            <w:vAlign w:val="center"/>
          </w:tcPr>
          <w:p>
            <w:pPr>
              <w:spacing w:after="20"/>
            </w:pPr>
            <w:r/>
            <w:r>
              <w:rPr>
                <w:rFonts w:ascii="Calibri" w:hAnsi="Calibri"/>
                <w:b w:val="0"/>
                <w:sz w:val="16"/>
              </w:rPr>
              <w:t>Directly supported by a checked implementation, saved artifact, or computed result in the repository.</w:t>
            </w:r>
          </w:p>
        </w:tc>
      </w:tr>
      <w:tr>
        <w:tc>
          <w:tcPr>
            <w:tcW w:type="dxa" w:w="5083"/>
            <w:vAlign w:val="center"/>
            <w:shd w:fill="EEF4F6"/>
          </w:tcPr>
          <w:p>
            <w:pPr>
              <w:spacing w:after="20"/>
            </w:pPr>
            <w:r/>
            <w:r>
              <w:rPr>
                <w:rFonts w:ascii="Calibri" w:hAnsi="Calibri"/>
                <w:b w:val="0"/>
                <w:sz w:val="16"/>
              </w:rPr>
              <w:t>INTERPRETATION</w:t>
            </w:r>
          </w:p>
        </w:tc>
        <w:tc>
          <w:tcPr>
            <w:tcW w:type="dxa" w:w="5083"/>
            <w:vAlign w:val="center"/>
            <w:shd w:fill="EEF4F6"/>
          </w:tcPr>
          <w:p>
            <w:pPr>
              <w:spacing w:after="20"/>
            </w:pPr>
            <w:r/>
            <w:r>
              <w:rPr>
                <w:rFonts w:ascii="Calibri" w:hAnsi="Calibri"/>
                <w:b w:val="0"/>
                <w:sz w:val="16"/>
              </w:rPr>
              <w:t>A reasoned reading of verified evidence; useful, but not itself a directly measured fact.</w:t>
            </w:r>
          </w:p>
        </w:tc>
      </w:tr>
      <w:tr>
        <w:tc>
          <w:tcPr>
            <w:tcW w:type="dxa" w:w="5083"/>
            <w:vAlign w:val="center"/>
          </w:tcPr>
          <w:p>
            <w:pPr>
              <w:spacing w:after="20"/>
            </w:pPr>
            <w:r/>
            <w:r>
              <w:rPr>
                <w:rFonts w:ascii="Calibri" w:hAnsi="Calibri"/>
                <w:b w:val="0"/>
                <w:sz w:val="16"/>
              </w:rPr>
              <w:t>NOT ESTABLISHED</w:t>
            </w:r>
          </w:p>
        </w:tc>
        <w:tc>
          <w:tcPr>
            <w:tcW w:type="dxa" w:w="5083"/>
            <w:vAlign w:val="center"/>
          </w:tcPr>
          <w:p>
            <w:pPr>
              <w:spacing w:after="20"/>
            </w:pPr>
            <w:r/>
            <w:r>
              <w:rPr>
                <w:rFonts w:ascii="Calibri" w:hAnsi="Calibri"/>
                <w:b w:val="0"/>
                <w:sz w:val="16"/>
              </w:rPr>
              <w:t>The repository does not contain enough evidence to make the claim. This includes unrun ideas and unverified external runs.</w:t>
            </w:r>
          </w:p>
        </w:tc>
      </w:tr>
      <w:tr>
        <w:tc>
          <w:tcPr>
            <w:tcW w:type="dxa" w:w="5083"/>
            <w:vAlign w:val="center"/>
            <w:shd w:fill="EEF4F6"/>
          </w:tcPr>
          <w:p>
            <w:pPr>
              <w:spacing w:after="20"/>
            </w:pPr>
            <w:r/>
            <w:r>
              <w:rPr>
                <w:rFonts w:ascii="Calibri" w:hAnsi="Calibri"/>
                <w:b w:val="0"/>
                <w:sz w:val="16"/>
              </w:rPr>
              <w:t>FUTURE HYPOTHESIS</w:t>
            </w:r>
          </w:p>
        </w:tc>
        <w:tc>
          <w:tcPr>
            <w:tcW w:type="dxa" w:w="5083"/>
            <w:vAlign w:val="center"/>
            <w:shd w:fill="EEF4F6"/>
          </w:tcPr>
          <w:p>
            <w:pPr>
              <w:spacing w:after="20"/>
            </w:pPr>
            <w:r/>
            <w:r>
              <w:rPr>
                <w:rFonts w:ascii="Calibri" w:hAnsi="Calibri"/>
                <w:b w:val="0"/>
                <w:sz w:val="16"/>
              </w:rPr>
              <w:t>A proposed experiment and expected direction. No score is promised.</w:t>
            </w:r>
          </w:p>
        </w:tc>
      </w:tr>
    </w:tbl>
    <w:p>
      <w:pPr>
        <w:spacing w:after="20"/>
      </w:pPr>
    </w:p>
    <w:p>
      <w:pPr>
        <w:pStyle w:val="Heading1"/>
      </w:pPr>
      <w:r>
        <w:t>Executive summary</w:t>
      </w:r>
    </w:p>
    <w:p>
      <w:pPr>
        <w:pStyle w:val="ListBullet"/>
      </w:pPr>
      <w:r>
        <w:t>The project is a substantial, well-instrumented learning RAG system: it audits TechQA answer annotations, preserves source offsets, retrieves technical notes, selects passages, generates answers, and evaluates retrieval, lexical overlap, semantic similarity, and evidence support separately.</w:t>
      </w:r>
    </w:p>
    <w:p>
      <w:pPr>
        <w:pStyle w:val="ListBullet"/>
      </w:pPr>
      <w:r>
        <w:t>Document retrieval is reasonably strong on this development set: the designated gold document appears in the fixed top-20 pool for 133/160 questions (83.1%). This is not end-to-end answer accuracy.</w:t>
      </w:r>
    </w:p>
    <w:p>
      <w:pPr>
        <w:pStyle w:val="ListBullet"/>
      </w:pPr>
      <w:r>
        <w:t>The largest measured loss is downstream: from the ranked passages and candidate documents to the five selected context chunks. Adjacent expansion improves answer-span coverage and reference containment, but increases average context tokens by roughly 70%.</w:t>
      </w:r>
    </w:p>
    <w:p>
      <w:pPr>
        <w:pStyle w:val="ListBullet"/>
      </w:pPr>
      <w:r>
        <w:t>Expanded context improves both generators’ average Token F1, ROUGE-L, and BERTScore on the saved paired evaluation. The effects are not equal: Qwen benefits more clearly in the evaluator’s claim-support rate; Gemini already has a high claim-support rate and its measured paired support-rate interval includes zero.</w:t>
      </w:r>
    </w:p>
    <w:p>
      <w:pPr>
        <w:pStyle w:val="ListBullet"/>
      </w:pPr>
      <w:r>
        <w:t>No single metric is an accuracy percentage. Token F1/ROUGE-L measure wording overlap; BERTScore measures embedding-based similarity; the factuality judge estimates whether answer claims are supported by the supplied context; the small GPT manual-review pilot is illustrative, not representative human gold.</w:t>
      </w:r>
    </w:p>
    <w:p>
      <w:pPr>
        <w:pStyle w:val="ListBullet"/>
      </w:pPr>
      <w:r>
        <w:t>A reasonable stopping point has been reached for a learning project. The future ideas in this guide are optional interview-ready directions, not a requirement to keep building this system.</w:t>
      </w:r>
    </w:p>
    <w:p>
      <w:pPr>
        <w:pStyle w:val="Heading2"/>
      </w:pPr>
      <w:r>
        <w:t>What is and is not covered</w:t>
      </w:r>
    </w:p>
    <w:p>
      <w:r>
        <w:t>Covered: the saved V2 pipeline and follow-on experiments in this checkout. The earlier comparison document remains the source for the complete first implementation history. Not covered: uncommitted Kaggle artifacts, unverified reranker/GraphRAG runs, live service behavior, or benchmark rankings against other teams. Where local evidence is absent, this guide says so.</w:t>
      </w:r>
    </w:p>
    <w:p>
      <w:r>
        <w:br w:type="page"/>
      </w:r>
    </w:p>
    <w:p>
      <w:pPr>
        <w:pStyle w:val="Heading1"/>
      </w:pPr>
      <w:r>
        <w:t>1. Project understanding and end-to-end flow</w:t>
      </w:r>
    </w:p>
    <w:p>
      <w:r>
        <w:t>The corpus contains IBM support notes. TechQA questions include a question, an answer/reference, a designated document identifier, and answer offsets tied to the note text. Those labels are valuable for offline diagnosis, but the DOC_ID is evaluation supervision; it is not a lookup table available for arbitrary user questions.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Calibri" w:hAnsi="Calibri"/>
                <w:b/>
                <w:color w:val="FFFFFF"/>
                <w:sz w:val="16"/>
              </w:rPr>
              <w:t>Stage</w:t>
            </w:r>
          </w:p>
        </w:tc>
        <w:tc>
          <w:tcPr>
            <w:tcW w:type="dxa" w:w="3389"/>
            <w:vAlign w:val="center"/>
            <w:shd w:fill="12304A"/>
          </w:tcPr>
          <w:p>
            <w:pPr>
              <w:spacing w:after="20"/>
            </w:pPr>
            <w:r/>
            <w:r>
              <w:rPr>
                <w:rFonts w:ascii="Calibri" w:hAnsi="Calibri"/>
                <w:b/>
                <w:color w:val="FFFFFF"/>
                <w:sz w:val="16"/>
              </w:rPr>
              <w:t>What happens in this project</w:t>
            </w:r>
          </w:p>
        </w:tc>
        <w:tc>
          <w:tcPr>
            <w:tcW w:type="dxa" w:w="3389"/>
            <w:vAlign w:val="center"/>
            <w:shd w:fill="12304A"/>
          </w:tcPr>
          <w:p>
            <w:pPr>
              <w:spacing w:after="20"/>
            </w:pPr>
            <w:r/>
            <w:r>
              <w:rPr>
                <w:rFonts w:ascii="Calibri" w:hAnsi="Calibri"/>
                <w:b/>
                <w:color w:val="FFFFFF"/>
                <w:sz w:val="16"/>
              </w:rPr>
              <w:t>Why it exists</w:t>
            </w:r>
          </w:p>
        </w:tc>
      </w:tr>
      <w:tr>
        <w:tc>
          <w:tcPr>
            <w:tcW w:type="dxa" w:w="3389"/>
            <w:vAlign w:val="center"/>
          </w:tcPr>
          <w:p>
            <w:pPr>
              <w:spacing w:after="20"/>
            </w:pPr>
            <w:r/>
            <w:r>
              <w:rPr>
                <w:rFonts w:ascii="Calibri" w:hAnsi="Calibri"/>
                <w:b w:val="0"/>
                <w:sz w:val="16"/>
              </w:rPr>
              <w:t>Raw data</w:t>
            </w:r>
          </w:p>
        </w:tc>
        <w:tc>
          <w:tcPr>
            <w:tcW w:type="dxa" w:w="3389"/>
            <w:vAlign w:val="center"/>
          </w:tcPr>
          <w:p>
            <w:pPr>
              <w:spacing w:after="20"/>
            </w:pPr>
            <w:r/>
            <w:r>
              <w:rPr>
                <w:rFonts w:ascii="Calibri" w:hAnsi="Calibri"/>
                <w:b w:val="0"/>
                <w:sz w:val="16"/>
              </w:rPr>
              <w:t>Read technical notes and train/dev QA records. The source text and answer offsets are inspected.</w:t>
            </w:r>
          </w:p>
        </w:tc>
        <w:tc>
          <w:tcPr>
            <w:tcW w:type="dxa" w:w="3389"/>
            <w:vAlign w:val="center"/>
          </w:tcPr>
          <w:p>
            <w:pPr>
              <w:spacing w:after="20"/>
            </w:pPr>
            <w:r/>
            <w:r>
              <w:rPr>
                <w:rFonts w:ascii="Calibri" w:hAnsi="Calibri"/>
                <w:b w:val="0"/>
                <w:sz w:val="16"/>
              </w:rPr>
              <w:t>Establish what evidence actually exists and what the benchmark labels mean.</w:t>
            </w:r>
          </w:p>
        </w:tc>
      </w:tr>
      <w:tr>
        <w:tc>
          <w:tcPr>
            <w:tcW w:type="dxa" w:w="3389"/>
            <w:vAlign w:val="center"/>
            <w:shd w:fill="EEF4F6"/>
          </w:tcPr>
          <w:p>
            <w:pPr>
              <w:spacing w:after="20"/>
            </w:pPr>
            <w:r/>
            <w:r>
              <w:rPr>
                <w:rFonts w:ascii="Calibri" w:hAnsi="Calibri"/>
                <w:b w:val="0"/>
                <w:sz w:val="16"/>
              </w:rPr>
              <w:t>Preprocessing</w:t>
            </w:r>
          </w:p>
        </w:tc>
        <w:tc>
          <w:tcPr>
            <w:tcW w:type="dxa" w:w="3389"/>
            <w:vAlign w:val="center"/>
            <w:shd w:fill="EEF4F6"/>
          </w:tcPr>
          <w:p>
            <w:pPr>
              <w:spacing w:after="20"/>
            </w:pPr>
            <w:r/>
            <w:r>
              <w:rPr>
                <w:rFonts w:ascii="Calibri" w:hAnsi="Calibri"/>
                <w:b w:val="0"/>
                <w:sz w:val="16"/>
              </w:rPr>
              <w:t>Use the TechQA text field as the offset reference; retain document identifiers, title and metadata.</w:t>
            </w:r>
          </w:p>
        </w:tc>
        <w:tc>
          <w:tcPr>
            <w:tcW w:type="dxa" w:w="3389"/>
            <w:vAlign w:val="center"/>
            <w:shd w:fill="EEF4F6"/>
          </w:tcPr>
          <w:p>
            <w:pPr>
              <w:spacing w:after="20"/>
            </w:pPr>
            <w:r/>
            <w:r>
              <w:rPr>
                <w:rFonts w:ascii="Calibri" w:hAnsi="Calibri"/>
                <w:b w:val="0"/>
                <w:sz w:val="16"/>
              </w:rPr>
              <w:t>Keep provenance and make answer-span audits possible.</w:t>
            </w:r>
          </w:p>
        </w:tc>
      </w:tr>
      <w:tr>
        <w:tc>
          <w:tcPr>
            <w:tcW w:type="dxa" w:w="3389"/>
            <w:vAlign w:val="center"/>
          </w:tcPr>
          <w:p>
            <w:pPr>
              <w:spacing w:after="20"/>
            </w:pPr>
            <w:r/>
            <w:r>
              <w:rPr>
                <w:rFonts w:ascii="Calibri" w:hAnsi="Calibri"/>
                <w:b w:val="0"/>
                <w:sz w:val="16"/>
              </w:rPr>
              <w:t>Chunking</w:t>
            </w:r>
          </w:p>
        </w:tc>
        <w:tc>
          <w:tcPr>
            <w:tcW w:type="dxa" w:w="3389"/>
            <w:vAlign w:val="center"/>
          </w:tcPr>
          <w:p>
            <w:pPr>
              <w:spacing w:after="20"/>
            </w:pPr>
            <w:r/>
            <w:r>
              <w:rPr>
                <w:rFonts w:ascii="Calibri" w:hAnsi="Calibri"/>
                <w:b w:val="0"/>
                <w:sz w:val="16"/>
              </w:rPr>
              <w:t>Build V2 source-aligned chunks with stable IDs and character offsets. Target 300 tokens, maximum 500; long-sentence windows can overlap by 50 tokens.</w:t>
            </w:r>
          </w:p>
        </w:tc>
        <w:tc>
          <w:tcPr>
            <w:tcW w:type="dxa" w:w="3389"/>
            <w:vAlign w:val="center"/>
          </w:tcPr>
          <w:p>
            <w:pPr>
              <w:spacing w:after="20"/>
            </w:pPr>
            <w:r/>
            <w:r>
              <w:rPr>
                <w:rFonts w:ascii="Calibri" w:hAnsi="Calibri"/>
                <w:b w:val="0"/>
                <w:sz w:val="16"/>
              </w:rPr>
              <w:t>Create retrievable passages without losing the link to the source.</w:t>
            </w:r>
          </w:p>
        </w:tc>
      </w:tr>
      <w:tr>
        <w:tc>
          <w:tcPr>
            <w:tcW w:type="dxa" w:w="3389"/>
            <w:vAlign w:val="center"/>
            <w:shd w:fill="EEF4F6"/>
          </w:tcPr>
          <w:p>
            <w:pPr>
              <w:spacing w:after="20"/>
            </w:pPr>
            <w:r/>
            <w:r>
              <w:rPr>
                <w:rFonts w:ascii="Calibri" w:hAnsi="Calibri"/>
                <w:b w:val="0"/>
                <w:sz w:val="16"/>
              </w:rPr>
              <w:t>Candidate retrieval</w:t>
            </w:r>
          </w:p>
        </w:tc>
        <w:tc>
          <w:tcPr>
            <w:tcW w:type="dxa" w:w="3389"/>
            <w:vAlign w:val="center"/>
            <w:shd w:fill="EEF4F6"/>
          </w:tcPr>
          <w:p>
            <w:pPr>
              <w:spacing w:after="20"/>
            </w:pPr>
            <w:r/>
            <w:r>
              <w:rPr>
                <w:rFonts w:ascii="Calibri" w:hAnsi="Calibri"/>
                <w:b w:val="0"/>
                <w:sz w:val="16"/>
              </w:rPr>
              <w:t>Use BGE-M3 vectors and lexical/title BM25 signals with rank fusion for the broad candidate set.</w:t>
            </w:r>
          </w:p>
        </w:tc>
        <w:tc>
          <w:tcPr>
            <w:tcW w:type="dxa" w:w="3389"/>
            <w:vAlign w:val="center"/>
            <w:shd w:fill="EEF4F6"/>
          </w:tcPr>
          <w:p>
            <w:pPr>
              <w:spacing w:after="20"/>
            </w:pPr>
            <w:r/>
            <w:r>
              <w:rPr>
                <w:rFonts w:ascii="Calibri" w:hAnsi="Calibri"/>
                <w:b w:val="0"/>
                <w:sz w:val="16"/>
              </w:rPr>
              <w:t>Catch both semantic similarity and exact technical strings.</w:t>
            </w:r>
          </w:p>
        </w:tc>
      </w:tr>
      <w:tr>
        <w:tc>
          <w:tcPr>
            <w:tcW w:type="dxa" w:w="3389"/>
            <w:vAlign w:val="center"/>
          </w:tcPr>
          <w:p>
            <w:pPr>
              <w:spacing w:after="20"/>
            </w:pPr>
            <w:r/>
            <w:r>
              <w:rPr>
                <w:rFonts w:ascii="Calibri" w:hAnsi="Calibri"/>
                <w:b w:val="0"/>
                <w:sz w:val="16"/>
              </w:rPr>
              <w:t>Passage selection</w:t>
            </w:r>
          </w:p>
        </w:tc>
        <w:tc>
          <w:tcPr>
            <w:tcW w:type="dxa" w:w="3389"/>
            <w:vAlign w:val="center"/>
          </w:tcPr>
          <w:p>
            <w:pPr>
              <w:spacing w:after="20"/>
            </w:pPr>
            <w:r/>
            <w:r>
              <w:rPr>
                <w:rFonts w:ascii="Calibri" w:hAnsi="Calibri"/>
                <w:b w:val="0"/>
                <w:sz w:val="16"/>
              </w:rPr>
              <w:t>Within a fixed top-20 candidate-document set, rank passages and choose top five; tested BM25 and BGE-M3, then adjacent-chunk expansion.</w:t>
            </w:r>
          </w:p>
        </w:tc>
        <w:tc>
          <w:tcPr>
            <w:tcW w:type="dxa" w:w="3389"/>
            <w:vAlign w:val="center"/>
          </w:tcPr>
          <w:p>
            <w:pPr>
              <w:spacing w:after="20"/>
            </w:pPr>
            <w:r/>
            <w:r>
              <w:rPr>
                <w:rFonts w:ascii="Calibri" w:hAnsi="Calibri"/>
                <w:b w:val="0"/>
                <w:sz w:val="16"/>
              </w:rPr>
              <w:t>Move from relevant documents to evidence that can answer the question.</w:t>
            </w:r>
          </w:p>
        </w:tc>
      </w:tr>
      <w:tr>
        <w:tc>
          <w:tcPr>
            <w:tcW w:type="dxa" w:w="3389"/>
            <w:vAlign w:val="center"/>
            <w:shd w:fill="EEF4F6"/>
          </w:tcPr>
          <w:p>
            <w:pPr>
              <w:spacing w:after="20"/>
            </w:pPr>
            <w:r/>
            <w:r>
              <w:rPr>
                <w:rFonts w:ascii="Calibri" w:hAnsi="Calibri"/>
                <w:b w:val="0"/>
                <w:sz w:val="16"/>
              </w:rPr>
              <w:t>Generation</w:t>
            </w:r>
          </w:p>
        </w:tc>
        <w:tc>
          <w:tcPr>
            <w:tcW w:type="dxa" w:w="3389"/>
            <w:vAlign w:val="center"/>
            <w:shd w:fill="EEF4F6"/>
          </w:tcPr>
          <w:p>
            <w:pPr>
              <w:spacing w:after="20"/>
            </w:pPr>
            <w:r/>
            <w:r>
              <w:rPr>
                <w:rFonts w:ascii="Calibri" w:hAnsi="Calibri"/>
                <w:b w:val="0"/>
                <w:sz w:val="16"/>
              </w:rPr>
              <w:t>Send question plus selected context to Qwen or Gemini with shared answer instructions.</w:t>
            </w:r>
          </w:p>
        </w:tc>
        <w:tc>
          <w:tcPr>
            <w:tcW w:type="dxa" w:w="3389"/>
            <w:vAlign w:val="center"/>
            <w:shd w:fill="EEF4F6"/>
          </w:tcPr>
          <w:p>
            <w:pPr>
              <w:spacing w:after="20"/>
            </w:pPr>
            <w:r/>
            <w:r>
              <w:rPr>
                <w:rFonts w:ascii="Calibri" w:hAnsi="Calibri"/>
                <w:b w:val="0"/>
                <w:sz w:val="16"/>
              </w:rPr>
              <w:t>Produce a readable response grounded in the retrieved material.</w:t>
            </w:r>
          </w:p>
        </w:tc>
      </w:tr>
      <w:tr>
        <w:tc>
          <w:tcPr>
            <w:tcW w:type="dxa" w:w="3389"/>
            <w:vAlign w:val="center"/>
          </w:tcPr>
          <w:p>
            <w:pPr>
              <w:spacing w:after="20"/>
            </w:pPr>
            <w:r/>
            <w:r>
              <w:rPr>
                <w:rFonts w:ascii="Calibri" w:hAnsi="Calibri"/>
                <w:b w:val="0"/>
                <w:sz w:val="16"/>
              </w:rPr>
              <w:t>Evaluation</w:t>
            </w:r>
          </w:p>
        </w:tc>
        <w:tc>
          <w:tcPr>
            <w:tcW w:type="dxa" w:w="3389"/>
            <w:vAlign w:val="center"/>
          </w:tcPr>
          <w:p>
            <w:pPr>
              <w:spacing w:after="20"/>
            </w:pPr>
            <w:r/>
            <w:r>
              <w:rPr>
                <w:rFonts w:ascii="Calibri" w:hAnsi="Calibri"/>
                <w:b w:val="0"/>
                <w:sz w:val="16"/>
              </w:rPr>
              <w:t>Score document and evidence coverage, reference similarity, and claim support separately.</w:t>
            </w:r>
          </w:p>
        </w:tc>
        <w:tc>
          <w:tcPr>
            <w:tcW w:type="dxa" w:w="3389"/>
            <w:vAlign w:val="center"/>
          </w:tcPr>
          <w:p>
            <w:pPr>
              <w:spacing w:after="20"/>
            </w:pPr>
            <w:r/>
            <w:r>
              <w:rPr>
                <w:rFonts w:ascii="Calibri" w:hAnsi="Calibri"/>
                <w:b w:val="0"/>
                <w:sz w:val="16"/>
              </w:rPr>
              <w:t>Locate failure stage instead of treating retrieval recall as overall accuracy.</w:t>
            </w:r>
          </w:p>
        </w:tc>
      </w:tr>
    </w:tbl>
    <w:p>
      <w:pPr>
        <w:spacing w:after="20"/>
      </w:pPr>
    </w:p>
    <w:p>
      <w:pPr>
        <w:pStyle w:val="Heading2"/>
      </w:pPr>
      <w:r>
        <w:t>Important boundary: benchmark evaluation vs real use</w:t>
      </w:r>
    </w:p>
    <w:p>
      <w:r>
        <w:t>For controlled V2 passage experiments, the candidate document set is frozen from the development retrieval artifact. That isolates passage ranking and context selection. A real user question does not come with a gold DOC_IDS list: production-style inference must search the full technical-note corpus. Gold DOC_IDs and answer offsets are used only to evaluate whether retrieval found the annotated evidence.</w:t>
      </w:r>
    </w:p>
    <w:tbl>
      <w:tblPr>
        <w:tblStyle w:val="TableGrid"/>
        <w:tblW w:type="auto" w:w="0"/>
        <w:tblLook w:firstColumn="1" w:firstRow="1" w:lastColumn="0" w:lastRow="0" w:noHBand="0" w:noVBand="1" w:val="04A0"/>
      </w:tblPr>
      <w:tblGrid>
        <w:gridCol w:w="10166"/>
      </w:tblGrid>
      <w:tr>
        <w:tc>
          <w:tcPr>
            <w:tcW w:type="dxa" w:w="10166"/>
            <w:shd w:fill="E6F3F3"/>
          </w:tcPr>
          <w:p>
            <w:pPr>
              <w:spacing w:after="60"/>
            </w:pPr>
            <w:r/>
            <w:r>
              <w:rPr>
                <w:b/>
                <w:color w:val="087E8B"/>
              </w:rPr>
              <w:t xml:space="preserve">Data flow in one line  </w:t>
            </w:r>
            <w:r>
              <w:t>Question → corpus-wide candidate search → ranked candidate notes → passage ranking → context assembly (optionally adjacent expansion) → model response → independent evaluation.</w:t>
            </w:r>
          </w:p>
        </w:tc>
      </w:tr>
    </w:tbl>
    <w:p>
      <w:pPr>
        <w:spacing w:after="20"/>
      </w:pPr>
    </w:p>
    <w:p>
      <w:pPr>
        <w:pStyle w:val="Heading2"/>
      </w:pPr>
      <w:r>
        <w:t>What the stable chunk offsets add</w:t>
      </w:r>
    </w:p>
    <w:p>
      <w:r>
        <w:t>Each chunk has a global/stable identity and offsets into its source text. This makes it possible to ask whether a reference span is present in a chunk, to restore neighboring context, and to trace a generated answer back to the original note. The old per-section chunk_index ambiguity is addressed by using stable chunk IDs and source offsets rather than relying on chunk_index as a unique document sequence.</w:t>
      </w:r>
    </w:p>
    <w:p>
      <w:r>
        <w:br w:type="page"/>
      </w:r>
    </w:p>
    <w:p>
      <w:pPr>
        <w:pStyle w:val="Heading1"/>
      </w:pPr>
      <w:r>
        <w:t>2. Verified baseline and retrieval results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Calibri" w:hAnsi="Calibri"/>
                <w:b/>
                <w:color w:val="FFFFFF"/>
                <w:sz w:val="16"/>
              </w:rPr>
              <w:t>Measure</w:t>
            </w:r>
          </w:p>
        </w:tc>
        <w:tc>
          <w:tcPr>
            <w:tcW w:type="dxa" w:w="3389"/>
            <w:vAlign w:val="center"/>
            <w:shd w:fill="12304A"/>
          </w:tcPr>
          <w:p>
            <w:pPr>
              <w:spacing w:after="20"/>
            </w:pPr>
            <w:r/>
            <w:r>
              <w:rPr>
                <w:rFonts w:ascii="Calibri" w:hAnsi="Calibri"/>
                <w:b/>
                <w:color w:val="FFFFFF"/>
                <w:sz w:val="16"/>
              </w:rPr>
              <w:t>Result</w:t>
            </w:r>
          </w:p>
        </w:tc>
        <w:tc>
          <w:tcPr>
            <w:tcW w:type="dxa" w:w="3389"/>
            <w:vAlign w:val="center"/>
            <w:shd w:fill="12304A"/>
          </w:tcPr>
          <w:p>
            <w:pPr>
              <w:spacing w:after="20"/>
            </w:pPr>
            <w:r/>
            <w:r>
              <w:rPr>
                <w:rFonts w:ascii="Calibri" w:hAnsi="Calibri"/>
                <w:b/>
                <w:color w:val="FFFFFF"/>
                <w:sz w:val="16"/>
              </w:rPr>
              <w:t>What it means</w:t>
            </w:r>
          </w:p>
        </w:tc>
      </w:tr>
      <w:tr>
        <w:tc>
          <w:tcPr>
            <w:tcW w:type="dxa" w:w="3389"/>
            <w:vAlign w:val="center"/>
          </w:tcPr>
          <w:p>
            <w:pPr>
              <w:spacing w:after="20"/>
            </w:pPr>
            <w:r/>
            <w:r>
              <w:rPr>
                <w:rFonts w:ascii="Calibri" w:hAnsi="Calibri"/>
                <w:b w:val="0"/>
                <w:sz w:val="16"/>
              </w:rPr>
              <w:t>Gold document in fixed top-20 candidate set</w:t>
            </w:r>
          </w:p>
        </w:tc>
        <w:tc>
          <w:tcPr>
            <w:tcW w:type="dxa" w:w="3389"/>
            <w:vAlign w:val="center"/>
          </w:tcPr>
          <w:p>
            <w:pPr>
              <w:spacing w:after="20"/>
            </w:pPr>
            <w:r/>
            <w:r>
              <w:rPr>
                <w:rFonts w:ascii="Calibri" w:hAnsi="Calibri"/>
                <w:b w:val="0"/>
                <w:sz w:val="16"/>
              </w:rPr>
              <w:t>133/160 (83.1%)</w:t>
            </w:r>
          </w:p>
        </w:tc>
        <w:tc>
          <w:tcPr>
            <w:tcW w:type="dxa" w:w="3389"/>
            <w:vAlign w:val="center"/>
          </w:tcPr>
          <w:p>
            <w:pPr>
              <w:spacing w:after="20"/>
            </w:pPr>
            <w:r/>
            <w:r>
              <w:rPr>
                <w:rFonts w:ascii="Calibri" w:hAnsi="Calibri"/>
                <w:b w:val="0"/>
                <w:sz w:val="16"/>
              </w:rPr>
              <w:t>The designated gold note was among candidates for 133 questions. This is candidate document recall, not answer accuracy.</w:t>
            </w:r>
          </w:p>
        </w:tc>
      </w:tr>
      <w:tr>
        <w:tc>
          <w:tcPr>
            <w:tcW w:type="dxa" w:w="3389"/>
            <w:vAlign w:val="center"/>
            <w:shd w:fill="EEF4F6"/>
          </w:tcPr>
          <w:p>
            <w:pPr>
              <w:spacing w:after="20"/>
            </w:pPr>
            <w:r/>
            <w:r>
              <w:rPr>
                <w:rFonts w:ascii="Calibri" w:hAnsi="Calibri"/>
                <w:b w:val="0"/>
                <w:sz w:val="16"/>
              </w:rPr>
              <w:t>Gold answer span in candidate-document chunks</w:t>
            </w:r>
          </w:p>
        </w:tc>
        <w:tc>
          <w:tcPr>
            <w:tcW w:type="dxa" w:w="3389"/>
            <w:vAlign w:val="center"/>
            <w:shd w:fill="EEF4F6"/>
          </w:tcPr>
          <w:p>
            <w:pPr>
              <w:spacing w:after="20"/>
            </w:pPr>
            <w:r/>
            <w:r>
              <w:rPr>
                <w:rFonts w:ascii="Calibri" w:hAnsi="Calibri"/>
                <w:b w:val="0"/>
                <w:sz w:val="16"/>
              </w:rPr>
              <w:t>133/160</w:t>
            </w:r>
          </w:p>
        </w:tc>
        <w:tc>
          <w:tcPr>
            <w:tcW w:type="dxa" w:w="3389"/>
            <w:vAlign w:val="center"/>
            <w:shd w:fill="EEF4F6"/>
          </w:tcPr>
          <w:p>
            <w:pPr>
              <w:spacing w:after="20"/>
            </w:pPr>
            <w:r/>
            <w:r>
              <w:rPr>
                <w:rFonts w:ascii="Calibri" w:hAnsi="Calibri"/>
                <w:b w:val="0"/>
                <w:sz w:val="16"/>
              </w:rPr>
              <w:t>When the gold note is a candidate, its annotated answer span is available at the chunk corpus level in this audit.</w:t>
            </w:r>
          </w:p>
        </w:tc>
      </w:tr>
      <w:tr>
        <w:tc>
          <w:tcPr>
            <w:tcW w:type="dxa" w:w="3389"/>
            <w:vAlign w:val="center"/>
          </w:tcPr>
          <w:p>
            <w:pPr>
              <w:spacing w:after="20"/>
            </w:pPr>
            <w:r/>
            <w:r>
              <w:rPr>
                <w:rFonts w:ascii="Calibri" w:hAnsi="Calibri"/>
                <w:b w:val="0"/>
                <w:sz w:val="16"/>
              </w:rPr>
              <w:t>Answer span covered by top-20 ranked chunks</w:t>
            </w:r>
          </w:p>
        </w:tc>
        <w:tc>
          <w:tcPr>
            <w:tcW w:type="dxa" w:w="3389"/>
            <w:vAlign w:val="center"/>
          </w:tcPr>
          <w:p>
            <w:pPr>
              <w:spacing w:after="20"/>
            </w:pPr>
            <w:r/>
            <w:r>
              <w:rPr>
                <w:rFonts w:ascii="Calibri" w:hAnsi="Calibri"/>
                <w:b w:val="0"/>
                <w:sz w:val="16"/>
              </w:rPr>
              <w:t>91/160</w:t>
            </w:r>
          </w:p>
        </w:tc>
        <w:tc>
          <w:tcPr>
            <w:tcW w:type="dxa" w:w="3389"/>
            <w:vAlign w:val="center"/>
          </w:tcPr>
          <w:p>
            <w:pPr>
              <w:spacing w:after="20"/>
            </w:pPr>
            <w:r/>
            <w:r>
              <w:rPr>
                <w:rFonts w:ascii="Calibri" w:hAnsi="Calibri"/>
                <w:b w:val="0"/>
                <w:sz w:val="16"/>
              </w:rPr>
              <w:t>At passage level, ranking does not always put the answer span in the leading retrieved passages.</w:t>
            </w:r>
          </w:p>
        </w:tc>
      </w:tr>
      <w:tr>
        <w:tc>
          <w:tcPr>
            <w:tcW w:type="dxa" w:w="3389"/>
            <w:vAlign w:val="center"/>
            <w:shd w:fill="EEF4F6"/>
          </w:tcPr>
          <w:p>
            <w:pPr>
              <w:spacing w:after="20"/>
            </w:pPr>
            <w:r/>
            <w:r>
              <w:rPr>
                <w:rFonts w:ascii="Calibri" w:hAnsi="Calibri"/>
                <w:b w:val="0"/>
                <w:sz w:val="16"/>
              </w:rPr>
              <w:t>Gold document selected in final context</w:t>
            </w:r>
          </w:p>
        </w:tc>
        <w:tc>
          <w:tcPr>
            <w:tcW w:type="dxa" w:w="3389"/>
            <w:vAlign w:val="center"/>
            <w:shd w:fill="EEF4F6"/>
          </w:tcPr>
          <w:p>
            <w:pPr>
              <w:spacing w:after="20"/>
            </w:pPr>
            <w:r/>
            <w:r>
              <w:rPr>
                <w:rFonts w:ascii="Calibri" w:hAnsi="Calibri"/>
                <w:b w:val="0"/>
                <w:sz w:val="16"/>
              </w:rPr>
              <w:t>97/160</w:t>
            </w:r>
          </w:p>
        </w:tc>
        <w:tc>
          <w:tcPr>
            <w:tcW w:type="dxa" w:w="3389"/>
            <w:vAlign w:val="center"/>
            <w:shd w:fill="EEF4F6"/>
          </w:tcPr>
          <w:p>
            <w:pPr>
              <w:spacing w:after="20"/>
            </w:pPr>
            <w:r/>
            <w:r>
              <w:rPr>
                <w:rFonts w:ascii="Calibri" w:hAnsi="Calibri"/>
                <w:b w:val="0"/>
                <w:sz w:val="16"/>
              </w:rPr>
              <w:t>The final five-chunk selection can omit the gold note even though the fixed candidate pool contains it.</w:t>
            </w:r>
          </w:p>
        </w:tc>
      </w:tr>
      <w:tr>
        <w:tc>
          <w:tcPr>
            <w:tcW w:type="dxa" w:w="3389"/>
            <w:vAlign w:val="center"/>
          </w:tcPr>
          <w:p>
            <w:pPr>
              <w:spacing w:after="20"/>
            </w:pPr>
            <w:r/>
            <w:r>
              <w:rPr>
                <w:rFonts w:ascii="Calibri" w:hAnsi="Calibri"/>
                <w:b w:val="0"/>
                <w:sz w:val="16"/>
              </w:rPr>
              <w:t>Plain-context answer-span coverage</w:t>
            </w:r>
          </w:p>
        </w:tc>
        <w:tc>
          <w:tcPr>
            <w:tcW w:type="dxa" w:w="3389"/>
            <w:vAlign w:val="center"/>
          </w:tcPr>
          <w:p>
            <w:pPr>
              <w:spacing w:after="20"/>
            </w:pPr>
            <w:r/>
            <w:r>
              <w:rPr>
                <w:rFonts w:ascii="Calibri" w:hAnsi="Calibri"/>
                <w:b w:val="0"/>
                <w:sz w:val="16"/>
              </w:rPr>
              <w:t>47/160</w:t>
            </w:r>
          </w:p>
        </w:tc>
        <w:tc>
          <w:tcPr>
            <w:tcW w:type="dxa" w:w="3389"/>
            <w:vAlign w:val="center"/>
          </w:tcPr>
          <w:p>
            <w:pPr>
              <w:spacing w:after="20"/>
            </w:pPr>
            <w:r/>
            <w:r>
              <w:rPr>
                <w:rFonts w:ascii="Calibri" w:hAnsi="Calibri"/>
                <w:b w:val="0"/>
                <w:sz w:val="16"/>
              </w:rPr>
              <w:t>The annotated offset span was covered by the plain selected context.</w:t>
            </w:r>
          </w:p>
        </w:tc>
      </w:tr>
      <w:tr>
        <w:tc>
          <w:tcPr>
            <w:tcW w:type="dxa" w:w="3389"/>
            <w:vAlign w:val="center"/>
            <w:shd w:fill="EEF4F6"/>
          </w:tcPr>
          <w:p>
            <w:pPr>
              <w:spacing w:after="20"/>
            </w:pPr>
            <w:r/>
            <w:r>
              <w:rPr>
                <w:rFonts w:ascii="Calibri" w:hAnsi="Calibri"/>
                <w:b w:val="0"/>
                <w:sz w:val="16"/>
              </w:rPr>
              <w:t>Expanded-context answer-span coverage</w:t>
            </w:r>
          </w:p>
        </w:tc>
        <w:tc>
          <w:tcPr>
            <w:tcW w:type="dxa" w:w="3389"/>
            <w:vAlign w:val="center"/>
            <w:shd w:fill="EEF4F6"/>
          </w:tcPr>
          <w:p>
            <w:pPr>
              <w:spacing w:after="20"/>
            </w:pPr>
            <w:r/>
            <w:r>
              <w:rPr>
                <w:rFonts w:ascii="Calibri" w:hAnsi="Calibri"/>
                <w:b w:val="0"/>
                <w:sz w:val="16"/>
              </w:rPr>
              <w:t>75/160</w:t>
            </w:r>
          </w:p>
        </w:tc>
        <w:tc>
          <w:tcPr>
            <w:tcW w:type="dxa" w:w="3389"/>
            <w:vAlign w:val="center"/>
            <w:shd w:fill="EEF4F6"/>
          </w:tcPr>
          <w:p>
            <w:pPr>
              <w:spacing w:after="20"/>
            </w:pPr>
            <w:r/>
            <w:r>
              <w:rPr>
                <w:rFonts w:ascii="Calibri" w:hAnsi="Calibri"/>
                <w:b w:val="0"/>
                <w:sz w:val="16"/>
              </w:rPr>
              <w:t>Neighbor chunks recover some evidence omitted by selecting isolated top-ranked chunks.</w:t>
            </w:r>
          </w:p>
        </w:tc>
      </w:tr>
      <w:tr>
        <w:tc>
          <w:tcPr>
            <w:tcW w:type="dxa" w:w="3389"/>
            <w:vAlign w:val="center"/>
          </w:tcPr>
          <w:p>
            <w:pPr>
              <w:spacing w:after="20"/>
            </w:pPr>
            <w:r/>
            <w:r>
              <w:rPr>
                <w:rFonts w:ascii="Calibri" w:hAnsi="Calibri"/>
                <w:b w:val="0"/>
                <w:sz w:val="16"/>
              </w:rPr>
              <w:t>Plain / expanded reference containment</w:t>
            </w:r>
          </w:p>
        </w:tc>
        <w:tc>
          <w:tcPr>
            <w:tcW w:type="dxa" w:w="3389"/>
            <w:vAlign w:val="center"/>
          </w:tcPr>
          <w:p>
            <w:pPr>
              <w:spacing w:after="20"/>
            </w:pPr>
            <w:r/>
            <w:r>
              <w:rPr>
                <w:rFonts w:ascii="Calibri" w:hAnsi="Calibri"/>
                <w:b w:val="0"/>
                <w:sz w:val="16"/>
              </w:rPr>
              <w:t>45/160 / 71/160</w:t>
            </w:r>
          </w:p>
        </w:tc>
        <w:tc>
          <w:tcPr>
            <w:tcW w:type="dxa" w:w="3389"/>
            <w:vAlign w:val="center"/>
          </w:tcPr>
          <w:p>
            <w:pPr>
              <w:spacing w:after="20"/>
            </w:pPr>
            <w:r/>
            <w:r>
              <w:rPr>
                <w:rFonts w:ascii="Calibri" w:hAnsi="Calibri"/>
                <w:b w:val="0"/>
                <w:sz w:val="16"/>
              </w:rPr>
              <w:t>Normalized reference answer string appears in final context. This is stricter/different from span coverage.</w:t>
            </w:r>
          </w:p>
        </w:tc>
      </w:tr>
    </w:tbl>
    <w:p>
      <w:pPr>
        <w:spacing w:after="20"/>
      </w:pPr>
    </w:p>
    <w:p>
      <w:pPr>
        <w:pStyle w:val="Heading2"/>
      </w:pPr>
      <w:r>
        <w:t>Initial retrieval and within-document passage ranking are different tests</w:t>
      </w:r>
    </w:p>
    <w:p>
      <w:r>
        <w:t>The 83.1% result describes the frozen document candidate pool. The BM25-versus-BGE-M3 experiment then ranks chunks only inside that same pool. Therefore, its results do not tell us whether BGE-M3 or BM25 is better for full-corpus question-to-document search; they compare passage selection after candidates are already fixed.</w:t>
      </w:r>
    </w:p>
    <w:p>
      <w:pPr>
        <w:pStyle w:val="Heading2"/>
      </w:pPr>
      <w:r>
        <w:t>BM25 vs BGE-M3 passage ranking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Calibri" w:hAnsi="Calibri"/>
                <w:b/>
                <w:color w:val="FFFFFF"/>
                <w:sz w:val="16"/>
              </w:rPr>
              <w:t>Within fixed top-20 document candidates</w:t>
            </w:r>
          </w:p>
        </w:tc>
        <w:tc>
          <w:tcPr>
            <w:tcW w:type="dxa" w:w="3389"/>
            <w:vAlign w:val="center"/>
            <w:shd w:fill="12304A"/>
          </w:tcPr>
          <w:p>
            <w:pPr>
              <w:spacing w:after="20"/>
            </w:pPr>
            <w:r/>
            <w:r>
              <w:rPr>
                <w:rFonts w:ascii="Calibri" w:hAnsi="Calibri"/>
                <w:b/>
                <w:color w:val="FFFFFF"/>
                <w:sz w:val="16"/>
              </w:rPr>
              <w:t>BM25 passage ranker</w:t>
            </w:r>
          </w:p>
        </w:tc>
        <w:tc>
          <w:tcPr>
            <w:tcW w:type="dxa" w:w="3389"/>
            <w:vAlign w:val="center"/>
            <w:shd w:fill="12304A"/>
          </w:tcPr>
          <w:p>
            <w:pPr>
              <w:spacing w:after="20"/>
            </w:pPr>
            <w:r/>
            <w:r>
              <w:rPr>
                <w:rFonts w:ascii="Calibri" w:hAnsi="Calibri"/>
                <w:b/>
                <w:color w:val="FFFFFF"/>
                <w:sz w:val="16"/>
              </w:rPr>
              <w:t>BGE-M3 passage ranker</w:t>
            </w:r>
          </w:p>
        </w:tc>
      </w:tr>
      <w:tr>
        <w:tc>
          <w:tcPr>
            <w:tcW w:type="dxa" w:w="3389"/>
            <w:vAlign w:val="center"/>
          </w:tcPr>
          <w:p>
            <w:pPr>
              <w:spacing w:after="20"/>
            </w:pPr>
            <w:r/>
            <w:r>
              <w:rPr>
                <w:rFonts w:ascii="Calibri" w:hAnsi="Calibri"/>
                <w:b w:val="0"/>
                <w:sz w:val="16"/>
              </w:rPr>
              <w:t>Gold document appears in selected context</w:t>
            </w:r>
          </w:p>
        </w:tc>
        <w:tc>
          <w:tcPr>
            <w:tcW w:type="dxa" w:w="3389"/>
            <w:vAlign w:val="center"/>
          </w:tcPr>
          <w:p>
            <w:pPr>
              <w:spacing w:after="20"/>
            </w:pPr>
            <w:r/>
            <w:r>
              <w:rPr>
                <w:rFonts w:ascii="Calibri" w:hAnsi="Calibri"/>
                <w:b w:val="0"/>
                <w:sz w:val="16"/>
              </w:rPr>
              <w:t>97/160</w:t>
            </w:r>
          </w:p>
        </w:tc>
        <w:tc>
          <w:tcPr>
            <w:tcW w:type="dxa" w:w="3389"/>
            <w:vAlign w:val="center"/>
          </w:tcPr>
          <w:p>
            <w:pPr>
              <w:spacing w:after="20"/>
            </w:pPr>
            <w:r/>
            <w:r>
              <w:rPr>
                <w:rFonts w:ascii="Calibri" w:hAnsi="Calibri"/>
                <w:b w:val="0"/>
                <w:sz w:val="16"/>
              </w:rPr>
              <w:t>97/160</w:t>
            </w:r>
          </w:p>
        </w:tc>
      </w:tr>
      <w:tr>
        <w:tc>
          <w:tcPr>
            <w:tcW w:type="dxa" w:w="3389"/>
            <w:vAlign w:val="center"/>
            <w:shd w:fill="EEF4F6"/>
          </w:tcPr>
          <w:p>
            <w:pPr>
              <w:spacing w:after="20"/>
            </w:pPr>
            <w:r/>
            <w:r>
              <w:rPr>
                <w:rFonts w:ascii="Calibri" w:hAnsi="Calibri"/>
                <w:b w:val="0"/>
                <w:sz w:val="16"/>
              </w:rPr>
              <w:t>Answer-span coverage, plain → expanded</w:t>
            </w:r>
          </w:p>
        </w:tc>
        <w:tc>
          <w:tcPr>
            <w:tcW w:type="dxa" w:w="3389"/>
            <w:vAlign w:val="center"/>
            <w:shd w:fill="EEF4F6"/>
          </w:tcPr>
          <w:p>
            <w:pPr>
              <w:spacing w:after="20"/>
            </w:pPr>
            <w:r/>
            <w:r>
              <w:rPr>
                <w:rFonts w:ascii="Calibri" w:hAnsi="Calibri"/>
                <w:b w:val="0"/>
                <w:sz w:val="16"/>
              </w:rPr>
              <w:t>47 → 75 / 160</w:t>
            </w:r>
          </w:p>
        </w:tc>
        <w:tc>
          <w:tcPr>
            <w:tcW w:type="dxa" w:w="3389"/>
            <w:vAlign w:val="center"/>
            <w:shd w:fill="EEF4F6"/>
          </w:tcPr>
          <w:p>
            <w:pPr>
              <w:spacing w:after="20"/>
            </w:pPr>
            <w:r/>
            <w:r>
              <w:rPr>
                <w:rFonts w:ascii="Calibri" w:hAnsi="Calibri"/>
                <w:b w:val="0"/>
                <w:sz w:val="16"/>
              </w:rPr>
              <w:t>41 → 68 / 160</w:t>
            </w:r>
          </w:p>
        </w:tc>
      </w:tr>
      <w:tr>
        <w:tc>
          <w:tcPr>
            <w:tcW w:type="dxa" w:w="3389"/>
            <w:vAlign w:val="center"/>
          </w:tcPr>
          <w:p>
            <w:pPr>
              <w:spacing w:after="20"/>
            </w:pPr>
            <w:r/>
            <w:r>
              <w:rPr>
                <w:rFonts w:ascii="Calibri" w:hAnsi="Calibri"/>
                <w:b w:val="0"/>
                <w:sz w:val="16"/>
              </w:rPr>
              <w:t>Normalized reference in context, plain → expanded</w:t>
            </w:r>
          </w:p>
        </w:tc>
        <w:tc>
          <w:tcPr>
            <w:tcW w:type="dxa" w:w="3389"/>
            <w:vAlign w:val="center"/>
          </w:tcPr>
          <w:p>
            <w:pPr>
              <w:spacing w:after="20"/>
            </w:pPr>
            <w:r/>
            <w:r>
              <w:rPr>
                <w:rFonts w:ascii="Calibri" w:hAnsi="Calibri"/>
                <w:b w:val="0"/>
                <w:sz w:val="16"/>
              </w:rPr>
              <w:t>44 → 70 / 160</w:t>
            </w:r>
          </w:p>
        </w:tc>
        <w:tc>
          <w:tcPr>
            <w:tcW w:type="dxa" w:w="3389"/>
            <w:vAlign w:val="center"/>
          </w:tcPr>
          <w:p>
            <w:pPr>
              <w:spacing w:after="20"/>
            </w:pPr>
            <w:r/>
            <w:r>
              <w:rPr>
                <w:rFonts w:ascii="Calibri" w:hAnsi="Calibri"/>
                <w:b w:val="0"/>
                <w:sz w:val="16"/>
              </w:rPr>
              <w:t>37 → 63 / 160</w:t>
            </w:r>
          </w:p>
        </w:tc>
      </w:tr>
      <w:tr>
        <w:tc>
          <w:tcPr>
            <w:tcW w:type="dxa" w:w="3389"/>
            <w:vAlign w:val="center"/>
            <w:shd w:fill="EEF4F6"/>
          </w:tcPr>
          <w:p>
            <w:pPr>
              <w:spacing w:after="20"/>
            </w:pPr>
            <w:r/>
            <w:r>
              <w:rPr>
                <w:rFonts w:ascii="Calibri" w:hAnsi="Calibri"/>
                <w:b w:val="0"/>
                <w:sz w:val="16"/>
              </w:rPr>
              <w:t>Interpretation</w:t>
            </w:r>
          </w:p>
        </w:tc>
        <w:tc>
          <w:tcPr>
            <w:tcW w:type="dxa" w:w="3389"/>
            <w:vAlign w:val="center"/>
            <w:shd w:fill="EEF4F6"/>
          </w:tcPr>
          <w:p>
            <w:pPr>
              <w:spacing w:after="20"/>
            </w:pPr>
            <w:r/>
            <w:r>
              <w:rPr>
                <w:rFonts w:ascii="Calibri" w:hAnsi="Calibri"/>
                <w:b w:val="0"/>
                <w:sz w:val="16"/>
              </w:rPr>
              <w:t>Better on measured passage/context evidence metrics in this experiment.</w:t>
            </w:r>
          </w:p>
        </w:tc>
        <w:tc>
          <w:tcPr>
            <w:tcW w:type="dxa" w:w="3389"/>
            <w:vAlign w:val="center"/>
            <w:shd w:fill="EEF4F6"/>
          </w:tcPr>
          <w:p>
            <w:pPr>
              <w:spacing w:after="20"/>
            </w:pPr>
            <w:r/>
            <w:r>
              <w:rPr>
                <w:rFonts w:ascii="Calibri" w:hAnsi="Calibri"/>
                <w:b w:val="0"/>
                <w:sz w:val="16"/>
              </w:rPr>
              <w:t>Worse than BM25 here; does not invalidate embeddings for candidate retrieval or hybrid fusion.</w:t>
            </w:r>
          </w:p>
        </w:tc>
      </w:tr>
    </w:tbl>
    <w:p>
      <w:pPr>
        <w:spacing w:after="20"/>
      </w:pPr>
    </w:p>
    <w:p>
      <w:r>
        <w:t>The project’s saved context-ablation summary uses 45/160 normalized references for one plain-context tally, while the passage-ranker comparison reports 44/160 for BM25 plain. This one-item discrepancy should be treated as an artifact/version or denominator consistency issue, not silently merged. Expanded BM25 counts are reported as 71 in the later failure table/context-generation summary and 70 in the passage-ranker comparison. Check exact artifact versions before making one headline claim from these neighboring analyses.</w:t>
      </w:r>
    </w:p>
    <w:tbl>
      <w:tblPr>
        <w:tblStyle w:val="TableGrid"/>
        <w:tblW w:type="auto" w:w="0"/>
        <w:tblLook w:firstColumn="1" w:firstRow="1" w:lastColumn="0" w:lastRow="0" w:noHBand="0" w:noVBand="1" w:val="04A0"/>
      </w:tblPr>
      <w:tblGrid>
        <w:gridCol w:w="10166"/>
      </w:tblGrid>
      <w:tr>
        <w:tc>
          <w:tcPr>
            <w:tcW w:type="dxa" w:w="10166"/>
            <w:shd w:fill="E6F3F3"/>
          </w:tcPr>
          <w:p>
            <w:pPr>
              <w:spacing w:after="60"/>
            </w:pPr>
            <w:r/>
            <w:r>
              <w:rPr>
                <w:b/>
                <w:color w:val="087E8B"/>
              </w:rPr>
              <w:t xml:space="preserve">Practical conclusion  </w:t>
            </w:r>
            <w:r>
              <w:t>BM25 is the strongest tested passage selector in the fixed-candidate V2 comparison. A BM25+BGE-M3 passage-level fusion test remains unrun; no result supports claiming it would win.</w:t>
            </w:r>
          </w:p>
        </w:tc>
      </w:tr>
    </w:tbl>
    <w:p>
      <w:pPr>
        <w:spacing w:after="20"/>
      </w:pPr>
    </w:p>
    <w:p>
      <w:pPr>
        <w:pStyle w:val="Heading2"/>
      </w:pPr>
      <w:r>
        <w:t>Candidate embedding archive</w:t>
      </w:r>
    </w:p>
    <w:p>
      <w:r>
        <w:t>A saved archive contains 18,351 vectors associated with 2,830 candidate documents. The audit reported alignment to V2 chunk IDs for those saved candidate passages. It is a subset, not embeddings for all 194,929 V2 chunks. It can support reproducing passage scoring for the covered candidates, but full-corpus passage ranking or new questions may require building or retrieving the missing vectors.</w:t>
      </w:r>
    </w:p>
    <w:p>
      <w:r>
        <w:br w:type="page"/>
      </w:r>
    </w:p>
    <w:p>
      <w:pPr>
        <w:pStyle w:val="Heading1"/>
      </w:pPr>
      <w:r>
        <w:t>3. Context selection and generation results</w:t>
      </w:r>
    </w:p>
    <w:p>
      <w:r>
        <w:t>The plain condition selects the highest-ranked passages. The expanded condition adds neighboring chunks around selected evidence so that a passage is less likely to be separated from the preceding/following explanation. Expansion is an evidence-preservation operation: it does not itself know which neighboring text contains the answer.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04A"/>
          </w:tcPr>
          <w:p>
            <w:pPr>
              <w:spacing w:after="20"/>
            </w:pPr>
            <w:r/>
            <w:r>
              <w:rPr>
                <w:rFonts w:ascii="Calibri" w:hAnsi="Calibri"/>
                <w:b/>
                <w:color w:val="FFFFFF"/>
                <w:sz w:val="16"/>
              </w:rPr>
              <w:t>Context condition</w:t>
            </w:r>
          </w:p>
        </w:tc>
        <w:tc>
          <w:tcPr>
            <w:tcW w:type="dxa" w:w="2541"/>
            <w:vAlign w:val="center"/>
            <w:shd w:fill="12304A"/>
          </w:tcPr>
          <w:p>
            <w:pPr>
              <w:spacing w:after="20"/>
            </w:pPr>
            <w:r/>
            <w:r>
              <w:rPr>
                <w:rFonts w:ascii="Calibri" w:hAnsi="Calibri"/>
                <w:b/>
                <w:color w:val="FFFFFF"/>
                <w:sz w:val="16"/>
              </w:rPr>
              <w:t>Mean prompt tokens (Qwen)</w:t>
            </w:r>
          </w:p>
        </w:tc>
        <w:tc>
          <w:tcPr>
            <w:tcW w:type="dxa" w:w="2541"/>
            <w:vAlign w:val="center"/>
            <w:shd w:fill="12304A"/>
          </w:tcPr>
          <w:p>
            <w:pPr>
              <w:spacing w:after="20"/>
            </w:pPr>
            <w:r/>
            <w:r>
              <w:rPr>
                <w:rFonts w:ascii="Calibri" w:hAnsi="Calibri"/>
                <w:b/>
                <w:color w:val="FFFFFF"/>
                <w:sz w:val="16"/>
              </w:rPr>
              <w:t>Span coverage</w:t>
            </w:r>
          </w:p>
        </w:tc>
        <w:tc>
          <w:tcPr>
            <w:tcW w:type="dxa" w:w="2541"/>
            <w:vAlign w:val="center"/>
            <w:shd w:fill="12304A"/>
          </w:tcPr>
          <w:p>
            <w:pPr>
              <w:spacing w:after="20"/>
            </w:pPr>
            <w:r/>
            <w:r>
              <w:rPr>
                <w:rFonts w:ascii="Calibri" w:hAnsi="Calibri"/>
                <w:b/>
                <w:color w:val="FFFFFF"/>
                <w:sz w:val="16"/>
              </w:rPr>
              <w:t>Reference in context</w:t>
            </w:r>
          </w:p>
        </w:tc>
      </w:tr>
      <w:tr>
        <w:tc>
          <w:tcPr>
            <w:tcW w:type="dxa" w:w="2541"/>
            <w:vAlign w:val="center"/>
          </w:tcPr>
          <w:p>
            <w:pPr>
              <w:spacing w:after="20"/>
            </w:pPr>
            <w:r/>
            <w:r>
              <w:rPr>
                <w:rFonts w:ascii="Calibri" w:hAnsi="Calibri"/>
                <w:b w:val="0"/>
                <w:sz w:val="16"/>
              </w:rPr>
              <w:t>BM25 plain top five</w:t>
            </w:r>
          </w:p>
        </w:tc>
        <w:tc>
          <w:tcPr>
            <w:tcW w:type="dxa" w:w="2541"/>
            <w:vAlign w:val="center"/>
          </w:tcPr>
          <w:p>
            <w:pPr>
              <w:spacing w:after="20"/>
            </w:pPr>
            <w:r/>
            <w:r>
              <w:rPr>
                <w:rFonts w:ascii="Calibri" w:hAnsi="Calibri"/>
                <w:b w:val="0"/>
                <w:sz w:val="16"/>
              </w:rPr>
              <w:t>1,125.65</w:t>
            </w:r>
          </w:p>
        </w:tc>
        <w:tc>
          <w:tcPr>
            <w:tcW w:type="dxa" w:w="2541"/>
            <w:vAlign w:val="center"/>
          </w:tcPr>
          <w:p>
            <w:pPr>
              <w:spacing w:after="20"/>
            </w:pPr>
            <w:r/>
            <w:r>
              <w:rPr>
                <w:rFonts w:ascii="Calibri" w:hAnsi="Calibri"/>
                <w:b w:val="0"/>
                <w:sz w:val="16"/>
              </w:rPr>
              <w:t>47/160</w:t>
            </w:r>
          </w:p>
        </w:tc>
        <w:tc>
          <w:tcPr>
            <w:tcW w:type="dxa" w:w="2541"/>
            <w:vAlign w:val="center"/>
          </w:tcPr>
          <w:p>
            <w:pPr>
              <w:spacing w:after="20"/>
            </w:pPr>
            <w:r/>
            <w:r>
              <w:rPr>
                <w:rFonts w:ascii="Calibri" w:hAnsi="Calibri"/>
                <w:b w:val="0"/>
                <w:sz w:val="16"/>
              </w:rPr>
              <w:t>45/160 in context-generation summary (44/160 in passage-ranker table)</w:t>
            </w:r>
          </w:p>
        </w:tc>
      </w:tr>
      <w:tr>
        <w:tc>
          <w:tcPr>
            <w:tcW w:type="dxa" w:w="2541"/>
            <w:vAlign w:val="center"/>
            <w:shd w:fill="EEF4F6"/>
          </w:tcPr>
          <w:p>
            <w:pPr>
              <w:spacing w:after="20"/>
            </w:pPr>
            <w:r/>
            <w:r>
              <w:rPr>
                <w:rFonts w:ascii="Calibri" w:hAnsi="Calibri"/>
                <w:b w:val="0"/>
                <w:sz w:val="16"/>
              </w:rPr>
              <w:t>BM25 + adjacent expansion</w:t>
            </w:r>
          </w:p>
        </w:tc>
        <w:tc>
          <w:tcPr>
            <w:tcW w:type="dxa" w:w="2541"/>
            <w:vAlign w:val="center"/>
            <w:shd w:fill="EEF4F6"/>
          </w:tcPr>
          <w:p>
            <w:pPr>
              <w:spacing w:after="20"/>
            </w:pPr>
            <w:r/>
            <w:r>
              <w:rPr>
                <w:rFonts w:ascii="Calibri" w:hAnsi="Calibri"/>
                <w:b w:val="0"/>
                <w:sz w:val="16"/>
              </w:rPr>
              <w:t>1,912.16</w:t>
            </w:r>
          </w:p>
        </w:tc>
        <w:tc>
          <w:tcPr>
            <w:tcW w:type="dxa" w:w="2541"/>
            <w:vAlign w:val="center"/>
            <w:shd w:fill="EEF4F6"/>
          </w:tcPr>
          <w:p>
            <w:pPr>
              <w:spacing w:after="20"/>
            </w:pPr>
            <w:r/>
            <w:r>
              <w:rPr>
                <w:rFonts w:ascii="Calibri" w:hAnsi="Calibri"/>
                <w:b w:val="0"/>
                <w:sz w:val="16"/>
              </w:rPr>
              <w:t>75/160</w:t>
            </w:r>
          </w:p>
        </w:tc>
        <w:tc>
          <w:tcPr>
            <w:tcW w:type="dxa" w:w="2541"/>
            <w:vAlign w:val="center"/>
            <w:shd w:fill="EEF4F6"/>
          </w:tcPr>
          <w:p>
            <w:pPr>
              <w:spacing w:after="20"/>
            </w:pPr>
            <w:r/>
            <w:r>
              <w:rPr>
                <w:rFonts w:ascii="Calibri" w:hAnsi="Calibri"/>
                <w:b w:val="0"/>
                <w:sz w:val="16"/>
              </w:rPr>
              <w:t>71/160 in failure-attribution/context-generation summary (70/160 in passage-ranker table)</w:t>
            </w:r>
          </w:p>
        </w:tc>
      </w:tr>
    </w:tbl>
    <w:p>
      <w:pPr>
        <w:spacing w:after="20"/>
      </w:pPr>
    </w:p>
    <w:p>
      <w:r>
        <w:t>Expansion used about 786.5 more mean prompt tokens, approximately 70% above plain. Gemini’s saved prompt-token means were 1,176.09 plain and 2,024.71 expanded. The value in the project is better evidence continuity and improved answer metrics; the cost is longer prompts, higher latency/API usage, and more distractor text.</w:t>
      </w:r>
    </w:p>
    <w:p>
      <w:pPr>
        <w:pStyle w:val="Heading2"/>
      </w:pPr>
      <w:r>
        <w:t>Answer quality against references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12304A"/>
          </w:tcPr>
          <w:p>
            <w:pPr>
              <w:spacing w:after="20"/>
            </w:pPr>
            <w:r/>
            <w:r>
              <w:rPr>
                <w:rFonts w:ascii="Calibri" w:hAnsi="Calibri"/>
                <w:b/>
                <w:color w:val="FFFFFF"/>
                <w:sz w:val="16"/>
              </w:rPr>
              <w:t>Metric (158 non-empty references)</w:t>
            </w:r>
          </w:p>
        </w:tc>
        <w:tc>
          <w:tcPr>
            <w:tcW w:type="dxa" w:w="2033"/>
            <w:vAlign w:val="center"/>
            <w:shd w:fill="12304A"/>
          </w:tcPr>
          <w:p>
            <w:pPr>
              <w:spacing w:after="20"/>
            </w:pPr>
            <w:r/>
            <w:r>
              <w:rPr>
                <w:rFonts w:ascii="Calibri" w:hAnsi="Calibri"/>
                <w:b/>
                <w:color w:val="FFFFFF"/>
                <w:sz w:val="16"/>
              </w:rPr>
              <w:t>Qwen plain</w:t>
            </w:r>
          </w:p>
        </w:tc>
        <w:tc>
          <w:tcPr>
            <w:tcW w:type="dxa" w:w="2033"/>
            <w:vAlign w:val="center"/>
            <w:shd w:fill="12304A"/>
          </w:tcPr>
          <w:p>
            <w:pPr>
              <w:spacing w:after="20"/>
            </w:pPr>
            <w:r/>
            <w:r>
              <w:rPr>
                <w:rFonts w:ascii="Calibri" w:hAnsi="Calibri"/>
                <w:b/>
                <w:color w:val="FFFFFF"/>
                <w:sz w:val="16"/>
              </w:rPr>
              <w:t>Qwen expanded</w:t>
            </w:r>
          </w:p>
        </w:tc>
        <w:tc>
          <w:tcPr>
            <w:tcW w:type="dxa" w:w="2033"/>
            <w:vAlign w:val="center"/>
            <w:shd w:fill="12304A"/>
          </w:tcPr>
          <w:p>
            <w:pPr>
              <w:spacing w:after="20"/>
            </w:pPr>
            <w:r/>
            <w:r>
              <w:rPr>
                <w:rFonts w:ascii="Calibri" w:hAnsi="Calibri"/>
                <w:b/>
                <w:color w:val="FFFFFF"/>
                <w:sz w:val="16"/>
              </w:rPr>
              <w:t>Gemini plain</w:t>
            </w:r>
          </w:p>
        </w:tc>
        <w:tc>
          <w:tcPr>
            <w:tcW w:type="dxa" w:w="2033"/>
            <w:vAlign w:val="center"/>
            <w:shd w:fill="12304A"/>
          </w:tcPr>
          <w:p>
            <w:pPr>
              <w:spacing w:after="20"/>
            </w:pPr>
            <w:r/>
            <w:r>
              <w:rPr>
                <w:rFonts w:ascii="Calibri" w:hAnsi="Calibri"/>
                <w:b/>
                <w:color w:val="FFFFFF"/>
                <w:sz w:val="16"/>
              </w:rPr>
              <w:t>Gemini expanded</w:t>
            </w:r>
          </w:p>
        </w:tc>
      </w:tr>
      <w:tr>
        <w:tc>
          <w:tcPr>
            <w:tcW w:type="dxa" w:w="2033"/>
            <w:vAlign w:val="center"/>
          </w:tcPr>
          <w:p>
            <w:pPr>
              <w:spacing w:after="20"/>
            </w:pPr>
            <w:r/>
            <w:r>
              <w:rPr>
                <w:rFonts w:ascii="Calibri" w:hAnsi="Calibri"/>
                <w:b w:val="0"/>
                <w:sz w:val="16"/>
              </w:rPr>
              <w:t>Token F1</w:t>
            </w:r>
          </w:p>
        </w:tc>
        <w:tc>
          <w:tcPr>
            <w:tcW w:type="dxa" w:w="2033"/>
            <w:vAlign w:val="center"/>
          </w:tcPr>
          <w:p>
            <w:pPr>
              <w:spacing w:after="20"/>
            </w:pPr>
            <w:r/>
            <w:r>
              <w:rPr>
                <w:rFonts w:ascii="Calibri" w:hAnsi="Calibri"/>
                <w:b w:val="0"/>
                <w:sz w:val="16"/>
              </w:rPr>
              <w:t>.2073</w:t>
            </w:r>
          </w:p>
        </w:tc>
        <w:tc>
          <w:tcPr>
            <w:tcW w:type="dxa" w:w="2033"/>
            <w:vAlign w:val="center"/>
          </w:tcPr>
          <w:p>
            <w:pPr>
              <w:spacing w:after="20"/>
            </w:pPr>
            <w:r/>
            <w:r>
              <w:rPr>
                <w:rFonts w:ascii="Calibri" w:hAnsi="Calibri"/>
                <w:b w:val="0"/>
                <w:sz w:val="16"/>
              </w:rPr>
              <w:t>.2319</w:t>
            </w:r>
          </w:p>
        </w:tc>
        <w:tc>
          <w:tcPr>
            <w:tcW w:type="dxa" w:w="2033"/>
            <w:vAlign w:val="center"/>
          </w:tcPr>
          <w:p>
            <w:pPr>
              <w:spacing w:after="20"/>
            </w:pPr>
            <w:r/>
            <w:r>
              <w:rPr>
                <w:rFonts w:ascii="Calibri" w:hAnsi="Calibri"/>
                <w:b w:val="0"/>
                <w:sz w:val="16"/>
              </w:rPr>
              <w:t>.2676</w:t>
            </w:r>
          </w:p>
        </w:tc>
        <w:tc>
          <w:tcPr>
            <w:tcW w:type="dxa" w:w="2033"/>
            <w:vAlign w:val="center"/>
          </w:tcPr>
          <w:p>
            <w:pPr>
              <w:spacing w:after="20"/>
            </w:pPr>
            <w:r/>
            <w:r>
              <w:rPr>
                <w:rFonts w:ascii="Calibri" w:hAnsi="Calibri"/>
                <w:b w:val="0"/>
                <w:sz w:val="16"/>
              </w:rPr>
              <w:t>.3178</w:t>
            </w:r>
          </w:p>
        </w:tc>
      </w:tr>
      <w:tr>
        <w:tc>
          <w:tcPr>
            <w:tcW w:type="dxa" w:w="2033"/>
            <w:vAlign w:val="center"/>
            <w:shd w:fill="EEF4F6"/>
          </w:tcPr>
          <w:p>
            <w:pPr>
              <w:spacing w:after="20"/>
            </w:pPr>
            <w:r/>
            <w:r>
              <w:rPr>
                <w:rFonts w:ascii="Calibri" w:hAnsi="Calibri"/>
                <w:b w:val="0"/>
                <w:sz w:val="16"/>
              </w:rPr>
              <w:t>ROUGE-L, same stemmed scorer</w:t>
            </w:r>
          </w:p>
        </w:tc>
        <w:tc>
          <w:tcPr>
            <w:tcW w:type="dxa" w:w="2033"/>
            <w:vAlign w:val="center"/>
            <w:shd w:fill="EEF4F6"/>
          </w:tcPr>
          <w:p>
            <w:pPr>
              <w:spacing w:after="20"/>
            </w:pPr>
            <w:r/>
            <w:r>
              <w:rPr>
                <w:rFonts w:ascii="Calibri" w:hAnsi="Calibri"/>
                <w:b w:val="0"/>
                <w:sz w:val="16"/>
              </w:rPr>
              <w:t>.1517</w:t>
            </w:r>
          </w:p>
        </w:tc>
        <w:tc>
          <w:tcPr>
            <w:tcW w:type="dxa" w:w="2033"/>
            <w:vAlign w:val="center"/>
            <w:shd w:fill="EEF4F6"/>
          </w:tcPr>
          <w:p>
            <w:pPr>
              <w:spacing w:after="20"/>
            </w:pPr>
            <w:r/>
            <w:r>
              <w:rPr>
                <w:rFonts w:ascii="Calibri" w:hAnsi="Calibri"/>
                <w:b w:val="0"/>
                <w:sz w:val="16"/>
              </w:rPr>
              <w:t>.1741</w:t>
            </w:r>
          </w:p>
        </w:tc>
        <w:tc>
          <w:tcPr>
            <w:tcW w:type="dxa" w:w="2033"/>
            <w:vAlign w:val="center"/>
            <w:shd w:fill="EEF4F6"/>
          </w:tcPr>
          <w:p>
            <w:pPr>
              <w:spacing w:after="20"/>
            </w:pPr>
            <w:r/>
            <w:r>
              <w:rPr>
                <w:rFonts w:ascii="Calibri" w:hAnsi="Calibri"/>
                <w:b w:val="0"/>
                <w:sz w:val="16"/>
              </w:rPr>
              <w:t>.2158</w:t>
            </w:r>
          </w:p>
        </w:tc>
        <w:tc>
          <w:tcPr>
            <w:tcW w:type="dxa" w:w="2033"/>
            <w:vAlign w:val="center"/>
            <w:shd w:fill="EEF4F6"/>
          </w:tcPr>
          <w:p>
            <w:pPr>
              <w:spacing w:after="20"/>
            </w:pPr>
            <w:r/>
            <w:r>
              <w:rPr>
                <w:rFonts w:ascii="Calibri" w:hAnsi="Calibri"/>
                <w:b w:val="0"/>
                <w:sz w:val="16"/>
              </w:rPr>
              <w:t>.2636</w:t>
            </w:r>
          </w:p>
        </w:tc>
      </w:tr>
      <w:tr>
        <w:tc>
          <w:tcPr>
            <w:tcW w:type="dxa" w:w="2033"/>
            <w:vAlign w:val="center"/>
          </w:tcPr>
          <w:p>
            <w:pPr>
              <w:spacing w:after="20"/>
            </w:pPr>
            <w:r/>
            <w:r>
              <w:rPr>
                <w:rFonts w:ascii="Calibri" w:hAnsi="Calibri"/>
                <w:b w:val="0"/>
                <w:sz w:val="16"/>
              </w:rPr>
              <w:t>BERTScore F1, roberta-large</w:t>
            </w:r>
          </w:p>
        </w:tc>
        <w:tc>
          <w:tcPr>
            <w:tcW w:type="dxa" w:w="2033"/>
            <w:vAlign w:val="center"/>
          </w:tcPr>
          <w:p>
            <w:pPr>
              <w:spacing w:after="20"/>
            </w:pPr>
            <w:r/>
            <w:r>
              <w:rPr>
                <w:rFonts w:ascii="Calibri" w:hAnsi="Calibri"/>
                <w:b w:val="0"/>
                <w:sz w:val="16"/>
              </w:rPr>
              <w:t>.8378</w:t>
            </w:r>
          </w:p>
        </w:tc>
        <w:tc>
          <w:tcPr>
            <w:tcW w:type="dxa" w:w="2033"/>
            <w:vAlign w:val="center"/>
          </w:tcPr>
          <w:p>
            <w:pPr>
              <w:spacing w:after="20"/>
            </w:pPr>
            <w:r/>
            <w:r>
              <w:rPr>
                <w:rFonts w:ascii="Calibri" w:hAnsi="Calibri"/>
                <w:b w:val="0"/>
                <w:sz w:val="16"/>
              </w:rPr>
              <w:t>.8432</w:t>
            </w:r>
          </w:p>
        </w:tc>
        <w:tc>
          <w:tcPr>
            <w:tcW w:type="dxa" w:w="2033"/>
            <w:vAlign w:val="center"/>
          </w:tcPr>
          <w:p>
            <w:pPr>
              <w:spacing w:after="20"/>
            </w:pPr>
            <w:r/>
            <w:r>
              <w:rPr>
                <w:rFonts w:ascii="Calibri" w:hAnsi="Calibri"/>
                <w:b w:val="0"/>
                <w:sz w:val="16"/>
              </w:rPr>
              <w:t>.8473</w:t>
            </w:r>
          </w:p>
        </w:tc>
        <w:tc>
          <w:tcPr>
            <w:tcW w:type="dxa" w:w="2033"/>
            <w:vAlign w:val="center"/>
          </w:tcPr>
          <w:p>
            <w:pPr>
              <w:spacing w:after="20"/>
            </w:pPr>
            <w:r/>
            <w:r>
              <w:rPr>
                <w:rFonts w:ascii="Calibri" w:hAnsi="Calibri"/>
                <w:b w:val="0"/>
                <w:sz w:val="16"/>
              </w:rPr>
              <w:t>.8553</w:t>
            </w:r>
          </w:p>
        </w:tc>
      </w:tr>
      <w:tr>
        <w:tc>
          <w:tcPr>
            <w:tcW w:type="dxa" w:w="2033"/>
            <w:vAlign w:val="center"/>
            <w:shd w:fill="EEF4F6"/>
          </w:tcPr>
          <w:p>
            <w:pPr>
              <w:spacing w:after="20"/>
            </w:pPr>
            <w:r/>
            <w:r>
              <w:rPr>
                <w:rFonts w:ascii="Calibri" w:hAnsi="Calibri"/>
                <w:b w:val="0"/>
                <w:sz w:val="16"/>
              </w:rPr>
              <w:t>Normalized exact match</w:t>
            </w:r>
          </w:p>
        </w:tc>
        <w:tc>
          <w:tcPr>
            <w:tcW w:type="dxa" w:w="2033"/>
            <w:vAlign w:val="center"/>
            <w:shd w:fill="EEF4F6"/>
          </w:tcPr>
          <w:p>
            <w:pPr>
              <w:spacing w:after="20"/>
            </w:pPr>
            <w:r/>
            <w:r>
              <w:rPr>
                <w:rFonts w:ascii="Calibri" w:hAnsi="Calibri"/>
                <w:b w:val="0"/>
                <w:sz w:val="16"/>
              </w:rPr>
              <w:t>0/158</w:t>
            </w:r>
          </w:p>
        </w:tc>
        <w:tc>
          <w:tcPr>
            <w:tcW w:type="dxa" w:w="2033"/>
            <w:vAlign w:val="center"/>
            <w:shd w:fill="EEF4F6"/>
          </w:tcPr>
          <w:p>
            <w:pPr>
              <w:spacing w:after="20"/>
            </w:pPr>
            <w:r/>
            <w:r>
              <w:rPr>
                <w:rFonts w:ascii="Calibri" w:hAnsi="Calibri"/>
                <w:b w:val="0"/>
                <w:sz w:val="16"/>
              </w:rPr>
              <w:t>0/158</w:t>
            </w:r>
          </w:p>
        </w:tc>
        <w:tc>
          <w:tcPr>
            <w:tcW w:type="dxa" w:w="2033"/>
            <w:vAlign w:val="center"/>
            <w:shd w:fill="EEF4F6"/>
          </w:tcPr>
          <w:p>
            <w:pPr>
              <w:spacing w:after="20"/>
            </w:pPr>
            <w:r/>
            <w:r>
              <w:rPr>
                <w:rFonts w:ascii="Calibri" w:hAnsi="Calibri"/>
                <w:b w:val="0"/>
                <w:sz w:val="16"/>
              </w:rPr>
              <w:t>0/158</w:t>
            </w:r>
          </w:p>
        </w:tc>
        <w:tc>
          <w:tcPr>
            <w:tcW w:type="dxa" w:w="2033"/>
            <w:vAlign w:val="center"/>
            <w:shd w:fill="EEF4F6"/>
          </w:tcPr>
          <w:p>
            <w:pPr>
              <w:spacing w:after="20"/>
            </w:pPr>
            <w:r/>
            <w:r>
              <w:rPr>
                <w:rFonts w:ascii="Calibri" w:hAnsi="Calibri"/>
                <w:b w:val="0"/>
                <w:sz w:val="16"/>
              </w:rPr>
              <w:t>0/158</w:t>
            </w:r>
          </w:p>
        </w:tc>
      </w:tr>
    </w:tbl>
    <w:p>
      <w:pPr>
        <w:spacing w:after="20"/>
      </w:pPr>
    </w:p>
    <w:p>
      <w:r>
        <w:t>Paired expanded-minus-plain mean differences: Qwen Token F1 +0.02468; ROUGE-L +0.02237 (paired bootstrap 95% interval +0.01162 to +0.03365); BERTScore F1 +0.00537 (interval +0.00226 to +0.00858). Gemini: Token F1 +0.05015; ROUGE-L +0.04788 (interval +0.02408 to +0.07276); BERTScore F1 +0.00800 (interval +0.00359 to +0.01266). These confidence intervals describe paired metric differences on this dev set, not generalization to all users or a universal “accuracy.”</w:t>
      </w:r>
    </w:p>
    <w:p>
      <w:pPr>
        <w:pStyle w:val="Heading2"/>
      </w:pPr>
      <w:r>
        <w:t>How to interpret each metric</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Calibri" w:hAnsi="Calibri"/>
                <w:b/>
                <w:color w:val="FFFFFF"/>
                <w:sz w:val="16"/>
              </w:rPr>
              <w:t>Metric</w:t>
            </w:r>
          </w:p>
        </w:tc>
        <w:tc>
          <w:tcPr>
            <w:tcW w:type="dxa" w:w="3389"/>
            <w:vAlign w:val="center"/>
            <w:shd w:fill="12304A"/>
          </w:tcPr>
          <w:p>
            <w:pPr>
              <w:spacing w:after="20"/>
            </w:pPr>
            <w:r/>
            <w:r>
              <w:rPr>
                <w:rFonts w:ascii="Calibri" w:hAnsi="Calibri"/>
                <w:b/>
                <w:color w:val="FFFFFF"/>
                <w:sz w:val="16"/>
              </w:rPr>
              <w:t>It answers</w:t>
            </w:r>
          </w:p>
        </w:tc>
        <w:tc>
          <w:tcPr>
            <w:tcW w:type="dxa" w:w="3389"/>
            <w:vAlign w:val="center"/>
            <w:shd w:fill="12304A"/>
          </w:tcPr>
          <w:p>
            <w:pPr>
              <w:spacing w:after="20"/>
            </w:pPr>
            <w:r/>
            <w:r>
              <w:rPr>
                <w:rFonts w:ascii="Calibri" w:hAnsi="Calibri"/>
                <w:b/>
                <w:color w:val="FFFFFF"/>
                <w:sz w:val="16"/>
              </w:rPr>
              <w:t>It does not answer</w:t>
            </w:r>
          </w:p>
        </w:tc>
      </w:tr>
      <w:tr>
        <w:tc>
          <w:tcPr>
            <w:tcW w:type="dxa" w:w="3389"/>
            <w:vAlign w:val="center"/>
          </w:tcPr>
          <w:p>
            <w:pPr>
              <w:spacing w:after="20"/>
            </w:pPr>
            <w:r/>
            <w:r>
              <w:rPr>
                <w:rFonts w:ascii="Calibri" w:hAnsi="Calibri"/>
                <w:b w:val="0"/>
                <w:sz w:val="16"/>
              </w:rPr>
              <w:t>Token F1</w:t>
            </w:r>
          </w:p>
        </w:tc>
        <w:tc>
          <w:tcPr>
            <w:tcW w:type="dxa" w:w="3389"/>
            <w:vAlign w:val="center"/>
          </w:tcPr>
          <w:p>
            <w:pPr>
              <w:spacing w:after="20"/>
            </w:pPr>
            <w:r/>
            <w:r>
              <w:rPr>
                <w:rFonts w:ascii="Calibri" w:hAnsi="Calibri"/>
                <w:b w:val="0"/>
                <w:sz w:val="16"/>
              </w:rPr>
              <w:t>How much normalized word overlap exists, balancing precision and recall?</w:t>
            </w:r>
          </w:p>
        </w:tc>
        <w:tc>
          <w:tcPr>
            <w:tcW w:type="dxa" w:w="3389"/>
            <w:vAlign w:val="center"/>
          </w:tcPr>
          <w:p>
            <w:pPr>
              <w:spacing w:after="20"/>
            </w:pPr>
            <w:r/>
            <w:r>
              <w:rPr>
                <w:rFonts w:ascii="Calibri" w:hAnsi="Calibri"/>
                <w:b w:val="0"/>
                <w:sz w:val="16"/>
              </w:rPr>
              <w:t>Whether paraphrases are correct or the response is factually supported.</w:t>
            </w:r>
          </w:p>
        </w:tc>
      </w:tr>
      <w:tr>
        <w:tc>
          <w:tcPr>
            <w:tcW w:type="dxa" w:w="3389"/>
            <w:vAlign w:val="center"/>
            <w:shd w:fill="EEF4F6"/>
          </w:tcPr>
          <w:p>
            <w:pPr>
              <w:spacing w:after="20"/>
            </w:pPr>
            <w:r/>
            <w:r>
              <w:rPr>
                <w:rFonts w:ascii="Calibri" w:hAnsi="Calibri"/>
                <w:b w:val="0"/>
                <w:sz w:val="16"/>
              </w:rPr>
              <w:t>ROUGE-L</w:t>
            </w:r>
          </w:p>
        </w:tc>
        <w:tc>
          <w:tcPr>
            <w:tcW w:type="dxa" w:w="3389"/>
            <w:vAlign w:val="center"/>
            <w:shd w:fill="EEF4F6"/>
          </w:tcPr>
          <w:p>
            <w:pPr>
              <w:spacing w:after="20"/>
            </w:pPr>
            <w:r/>
            <w:r>
              <w:rPr>
                <w:rFonts w:ascii="Calibri" w:hAnsi="Calibri"/>
                <w:b w:val="0"/>
                <w:sz w:val="16"/>
              </w:rPr>
              <w:t>How much longest-subsequence wording overlap is shared?</w:t>
            </w:r>
          </w:p>
        </w:tc>
        <w:tc>
          <w:tcPr>
            <w:tcW w:type="dxa" w:w="3389"/>
            <w:vAlign w:val="center"/>
            <w:shd w:fill="EEF4F6"/>
          </w:tcPr>
          <w:p>
            <w:pPr>
              <w:spacing w:after="20"/>
            </w:pPr>
            <w:r/>
            <w:r>
              <w:rPr>
                <w:rFonts w:ascii="Calibri" w:hAnsi="Calibri"/>
                <w:b w:val="0"/>
                <w:sz w:val="16"/>
              </w:rPr>
              <w:t>Whether claims are true; it penalizes valid alternate wording.</w:t>
            </w:r>
          </w:p>
        </w:tc>
      </w:tr>
      <w:tr>
        <w:tc>
          <w:tcPr>
            <w:tcW w:type="dxa" w:w="3389"/>
            <w:vAlign w:val="center"/>
          </w:tcPr>
          <w:p>
            <w:pPr>
              <w:spacing w:after="20"/>
            </w:pPr>
            <w:r/>
            <w:r>
              <w:rPr>
                <w:rFonts w:ascii="Calibri" w:hAnsi="Calibri"/>
                <w:b w:val="0"/>
                <w:sz w:val="16"/>
              </w:rPr>
              <w:t>BERTScore</w:t>
            </w:r>
          </w:p>
        </w:tc>
        <w:tc>
          <w:tcPr>
            <w:tcW w:type="dxa" w:w="3389"/>
            <w:vAlign w:val="center"/>
          </w:tcPr>
          <w:p>
            <w:pPr>
              <w:spacing w:after="20"/>
            </w:pPr>
            <w:r/>
            <w:r>
              <w:rPr>
                <w:rFonts w:ascii="Calibri" w:hAnsi="Calibri"/>
                <w:b w:val="0"/>
                <w:sz w:val="16"/>
              </w:rPr>
              <w:t>How similar are reference and generated text using contextual token embeddings?</w:t>
            </w:r>
          </w:p>
        </w:tc>
        <w:tc>
          <w:tcPr>
            <w:tcW w:type="dxa" w:w="3389"/>
            <w:vAlign w:val="center"/>
          </w:tcPr>
          <w:p>
            <w:pPr>
              <w:spacing w:after="20"/>
            </w:pPr>
            <w:r/>
            <w:r>
              <w:rPr>
                <w:rFonts w:ascii="Calibri" w:hAnsi="Calibri"/>
                <w:b w:val="0"/>
                <w:sz w:val="16"/>
              </w:rPr>
              <w:t>A calibrated probability of correctness; it can reward semantically similar but wrong details.</w:t>
            </w:r>
          </w:p>
        </w:tc>
      </w:tr>
      <w:tr>
        <w:tc>
          <w:tcPr>
            <w:tcW w:type="dxa" w:w="3389"/>
            <w:vAlign w:val="center"/>
            <w:shd w:fill="EEF4F6"/>
          </w:tcPr>
          <w:p>
            <w:pPr>
              <w:spacing w:after="20"/>
            </w:pPr>
            <w:r/>
            <w:r>
              <w:rPr>
                <w:rFonts w:ascii="Calibri" w:hAnsi="Calibri"/>
                <w:b w:val="0"/>
                <w:sz w:val="16"/>
              </w:rPr>
              <w:t>Normalized EM</w:t>
            </w:r>
          </w:p>
        </w:tc>
        <w:tc>
          <w:tcPr>
            <w:tcW w:type="dxa" w:w="3389"/>
            <w:vAlign w:val="center"/>
            <w:shd w:fill="EEF4F6"/>
          </w:tcPr>
          <w:p>
            <w:pPr>
              <w:spacing w:after="20"/>
            </w:pPr>
            <w:r/>
            <w:r>
              <w:rPr>
                <w:rFonts w:ascii="Calibri" w:hAnsi="Calibri"/>
                <w:b w:val="0"/>
                <w:sz w:val="16"/>
              </w:rPr>
              <w:t>Is the entire normalized answer string an exact match?</w:t>
            </w:r>
          </w:p>
        </w:tc>
        <w:tc>
          <w:tcPr>
            <w:tcW w:type="dxa" w:w="3389"/>
            <w:vAlign w:val="center"/>
            <w:shd w:fill="EEF4F6"/>
          </w:tcPr>
          <w:p>
            <w:pPr>
              <w:spacing w:after="20"/>
            </w:pPr>
            <w:r/>
            <w:r>
              <w:rPr>
                <w:rFonts w:ascii="Calibri" w:hAnsi="Calibri"/>
                <w:b w:val="0"/>
                <w:sz w:val="16"/>
              </w:rPr>
              <w:t>Partial correctness or acceptable paraphrases. Zero here is not zero useful answers.</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6F3F3"/>
          </w:tcPr>
          <w:p>
            <w:pPr>
              <w:spacing w:after="60"/>
            </w:pPr>
            <w:r/>
            <w:r>
              <w:rPr>
                <w:b/>
                <w:color w:val="087E8B"/>
              </w:rPr>
              <w:t xml:space="preserve">Reading the direction  </w:t>
            </w:r>
            <w:r>
              <w:t>Expanded context improved all three average overlap/similarity metrics for both generators on this paired run. It is evidence that more surrounding material helped this setup. It does not prove every expanded answer is better; paired question outcomes include losses, and longer context costs more.</w:t>
            </w:r>
          </w:p>
        </w:tc>
      </w:tr>
    </w:tbl>
    <w:p>
      <w:pPr>
        <w:spacing w:after="20"/>
      </w:pPr>
    </w:p>
    <w:p>
      <w:r>
        <w:br w:type="page"/>
      </w:r>
    </w:p>
    <w:p>
      <w:pPr>
        <w:pStyle w:val="Heading1"/>
      </w:pPr>
      <w:r>
        <w:t>4. Evidence support and manual quality review</w:t>
      </w:r>
    </w:p>
    <w:p>
      <w:pPr>
        <w:pStyle w:val="Heading2"/>
      </w:pPr>
      <w:r>
        <w:t>Evidence-based factuality judge</w:t>
      </w:r>
    </w:p>
    <w:p>
      <w:r>
        <w:t>The factuality script decomposes answers into claims and asks Gemini 3.5 Flash Lite to judge support against the exact supplied context. Evidence quotes are validated against the context; 30 invalid/non-verbatim quotes across 1,571 claims were downgraded to not-supported while retaining the original judge label for audit. This is stronger provenance checking than an unconstrained “is it correct?” score, but it is still an automated judge.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12304A"/>
          </w:tcPr>
          <w:p>
            <w:pPr>
              <w:spacing w:after="20"/>
            </w:pPr>
            <w:r/>
            <w:r>
              <w:rPr>
                <w:rFonts w:ascii="Calibri" w:hAnsi="Calibri"/>
                <w:b/>
                <w:color w:val="FFFFFF"/>
                <w:sz w:val="16"/>
              </w:rPr>
              <w:t>Answer generator</w:t>
            </w:r>
          </w:p>
        </w:tc>
        <w:tc>
          <w:tcPr>
            <w:tcW w:type="dxa" w:w="2033"/>
            <w:vAlign w:val="center"/>
            <w:shd w:fill="12304A"/>
          </w:tcPr>
          <w:p>
            <w:pPr>
              <w:spacing w:after="20"/>
            </w:pPr>
            <w:r/>
            <w:r>
              <w:rPr>
                <w:rFonts w:ascii="Calibri" w:hAnsi="Calibri"/>
                <w:b/>
                <w:color w:val="FFFFFF"/>
                <w:sz w:val="16"/>
              </w:rPr>
              <w:t>Context</w:t>
            </w:r>
          </w:p>
        </w:tc>
        <w:tc>
          <w:tcPr>
            <w:tcW w:type="dxa" w:w="2033"/>
            <w:vAlign w:val="center"/>
            <w:shd w:fill="12304A"/>
          </w:tcPr>
          <w:p>
            <w:pPr>
              <w:spacing w:after="20"/>
            </w:pPr>
            <w:r/>
            <w:r>
              <w:rPr>
                <w:rFonts w:ascii="Calibri" w:hAnsi="Calibri"/>
                <w:b/>
                <w:color w:val="FFFFFF"/>
                <w:sz w:val="16"/>
              </w:rPr>
              <w:t>Supported claims / total</w:t>
            </w:r>
          </w:p>
        </w:tc>
        <w:tc>
          <w:tcPr>
            <w:tcW w:type="dxa" w:w="2033"/>
            <w:vAlign w:val="center"/>
            <w:shd w:fill="12304A"/>
          </w:tcPr>
          <w:p>
            <w:pPr>
              <w:spacing w:after="20"/>
            </w:pPr>
            <w:r/>
            <w:r>
              <w:rPr>
                <w:rFonts w:ascii="Calibri" w:hAnsi="Calibri"/>
                <w:b/>
                <w:color w:val="FFFFFF"/>
                <w:sz w:val="16"/>
              </w:rPr>
              <w:t>Claim support rate</w:t>
            </w:r>
          </w:p>
        </w:tc>
        <w:tc>
          <w:tcPr>
            <w:tcW w:type="dxa" w:w="2033"/>
            <w:vAlign w:val="center"/>
            <w:shd w:fill="12304A"/>
          </w:tcPr>
          <w:p>
            <w:pPr>
              <w:spacing w:after="20"/>
            </w:pPr>
            <w:r/>
            <w:r>
              <w:rPr>
                <w:rFonts w:ascii="Calibri" w:hAnsi="Calibri"/>
                <w:b/>
                <w:color w:val="FFFFFF"/>
                <w:sz w:val="16"/>
              </w:rPr>
              <w:t>Paired question-rate change with expansion</w:t>
            </w:r>
          </w:p>
        </w:tc>
      </w:tr>
      <w:tr>
        <w:tc>
          <w:tcPr>
            <w:tcW w:type="dxa" w:w="2033"/>
            <w:vAlign w:val="center"/>
          </w:tcPr>
          <w:p>
            <w:pPr>
              <w:spacing w:after="20"/>
            </w:pPr>
            <w:r/>
            <w:r>
              <w:rPr>
                <w:rFonts w:ascii="Calibri" w:hAnsi="Calibri"/>
                <w:b w:val="0"/>
                <w:sz w:val="16"/>
              </w:rPr>
              <w:t>Qwen</w:t>
            </w:r>
          </w:p>
        </w:tc>
        <w:tc>
          <w:tcPr>
            <w:tcW w:type="dxa" w:w="2033"/>
            <w:vAlign w:val="center"/>
          </w:tcPr>
          <w:p>
            <w:pPr>
              <w:spacing w:after="20"/>
            </w:pPr>
            <w:r/>
            <w:r>
              <w:rPr>
                <w:rFonts w:ascii="Calibri" w:hAnsi="Calibri"/>
                <w:b w:val="0"/>
                <w:sz w:val="16"/>
              </w:rPr>
              <w:t>Plain</w:t>
            </w:r>
          </w:p>
        </w:tc>
        <w:tc>
          <w:tcPr>
            <w:tcW w:type="dxa" w:w="2033"/>
            <w:vAlign w:val="center"/>
          </w:tcPr>
          <w:p>
            <w:pPr>
              <w:spacing w:after="20"/>
            </w:pPr>
            <w:r/>
            <w:r>
              <w:rPr>
                <w:rFonts w:ascii="Calibri" w:hAnsi="Calibri"/>
                <w:b w:val="0"/>
                <w:sz w:val="16"/>
              </w:rPr>
              <w:t>273/446</w:t>
            </w:r>
          </w:p>
        </w:tc>
        <w:tc>
          <w:tcPr>
            <w:tcW w:type="dxa" w:w="2033"/>
            <w:vAlign w:val="center"/>
          </w:tcPr>
          <w:p>
            <w:pPr>
              <w:spacing w:after="20"/>
            </w:pPr>
            <w:r/>
            <w:r>
              <w:rPr>
                <w:rFonts w:ascii="Calibri" w:hAnsi="Calibri"/>
                <w:b w:val="0"/>
                <w:sz w:val="16"/>
              </w:rPr>
              <w:t>61.21%</w:t>
            </w:r>
          </w:p>
        </w:tc>
        <w:tc>
          <w:tcPr>
            <w:tcW w:type="dxa" w:w="2033"/>
            <w:vAlign w:val="center"/>
          </w:tcPr>
          <w:p>
            <w:pPr>
              <w:spacing w:after="20"/>
            </w:pPr>
            <w:r/>
            <w:r>
              <w:rPr>
                <w:rFonts w:ascii="Calibri" w:hAnsi="Calibri"/>
                <w:b w:val="0"/>
                <w:sz w:val="16"/>
              </w:rPr>
            </w:r>
          </w:p>
        </w:tc>
      </w:tr>
      <w:tr>
        <w:tc>
          <w:tcPr>
            <w:tcW w:type="dxa" w:w="2033"/>
            <w:vAlign w:val="center"/>
            <w:shd w:fill="EEF4F6"/>
          </w:tcPr>
          <w:p>
            <w:pPr>
              <w:spacing w:after="20"/>
            </w:pPr>
            <w:r/>
            <w:r>
              <w:rPr>
                <w:rFonts w:ascii="Calibri" w:hAnsi="Calibri"/>
                <w:b w:val="0"/>
                <w:sz w:val="16"/>
              </w:rPr>
              <w:t>Qwen</w:t>
            </w:r>
          </w:p>
        </w:tc>
        <w:tc>
          <w:tcPr>
            <w:tcW w:type="dxa" w:w="2033"/>
            <w:vAlign w:val="center"/>
            <w:shd w:fill="EEF4F6"/>
          </w:tcPr>
          <w:p>
            <w:pPr>
              <w:spacing w:after="20"/>
            </w:pPr>
            <w:r/>
            <w:r>
              <w:rPr>
                <w:rFonts w:ascii="Calibri" w:hAnsi="Calibri"/>
                <w:b w:val="0"/>
                <w:sz w:val="16"/>
              </w:rPr>
              <w:t>Expanded</w:t>
            </w:r>
          </w:p>
        </w:tc>
        <w:tc>
          <w:tcPr>
            <w:tcW w:type="dxa" w:w="2033"/>
            <w:vAlign w:val="center"/>
            <w:shd w:fill="EEF4F6"/>
          </w:tcPr>
          <w:p>
            <w:pPr>
              <w:spacing w:after="20"/>
            </w:pPr>
            <w:r/>
            <w:r>
              <w:rPr>
                <w:rFonts w:ascii="Calibri" w:hAnsi="Calibri"/>
                <w:b w:val="0"/>
                <w:sz w:val="16"/>
              </w:rPr>
              <w:t>339/455</w:t>
            </w:r>
          </w:p>
        </w:tc>
        <w:tc>
          <w:tcPr>
            <w:tcW w:type="dxa" w:w="2033"/>
            <w:vAlign w:val="center"/>
            <w:shd w:fill="EEF4F6"/>
          </w:tcPr>
          <w:p>
            <w:pPr>
              <w:spacing w:after="20"/>
            </w:pPr>
            <w:r/>
            <w:r>
              <w:rPr>
                <w:rFonts w:ascii="Calibri" w:hAnsi="Calibri"/>
                <w:b w:val="0"/>
                <w:sz w:val="16"/>
              </w:rPr>
              <w:t>74.51%</w:t>
            </w:r>
          </w:p>
        </w:tc>
        <w:tc>
          <w:tcPr>
            <w:tcW w:type="dxa" w:w="2033"/>
            <w:vAlign w:val="center"/>
            <w:shd w:fill="EEF4F6"/>
          </w:tcPr>
          <w:p>
            <w:pPr>
              <w:spacing w:after="20"/>
            </w:pPr>
            <w:r/>
            <w:r>
              <w:rPr>
                <w:rFonts w:ascii="Calibri" w:hAnsi="Calibri"/>
                <w:b w:val="0"/>
                <w:sz w:val="16"/>
              </w:rPr>
              <w:t>+10.26 percentage points; 95% CI +4.75 to +15.76; n=160</w:t>
            </w:r>
          </w:p>
        </w:tc>
      </w:tr>
      <w:tr>
        <w:tc>
          <w:tcPr>
            <w:tcW w:type="dxa" w:w="2033"/>
            <w:vAlign w:val="center"/>
          </w:tcPr>
          <w:p>
            <w:pPr>
              <w:spacing w:after="20"/>
            </w:pPr>
            <w:r/>
            <w:r>
              <w:rPr>
                <w:rFonts w:ascii="Calibri" w:hAnsi="Calibri"/>
                <w:b w:val="0"/>
                <w:sz w:val="16"/>
              </w:rPr>
              <w:t>Gemini</w:t>
            </w:r>
          </w:p>
        </w:tc>
        <w:tc>
          <w:tcPr>
            <w:tcW w:type="dxa" w:w="2033"/>
            <w:vAlign w:val="center"/>
          </w:tcPr>
          <w:p>
            <w:pPr>
              <w:spacing w:after="20"/>
            </w:pPr>
            <w:r/>
            <w:r>
              <w:rPr>
                <w:rFonts w:ascii="Calibri" w:hAnsi="Calibri"/>
                <w:b w:val="0"/>
                <w:sz w:val="16"/>
              </w:rPr>
              <w:t>Plain</w:t>
            </w:r>
          </w:p>
        </w:tc>
        <w:tc>
          <w:tcPr>
            <w:tcW w:type="dxa" w:w="2033"/>
            <w:vAlign w:val="center"/>
          </w:tcPr>
          <w:p>
            <w:pPr>
              <w:spacing w:after="20"/>
            </w:pPr>
            <w:r/>
            <w:r>
              <w:rPr>
                <w:rFonts w:ascii="Calibri" w:hAnsi="Calibri"/>
                <w:b w:val="0"/>
                <w:sz w:val="16"/>
              </w:rPr>
              <w:t>273/297</w:t>
            </w:r>
          </w:p>
        </w:tc>
        <w:tc>
          <w:tcPr>
            <w:tcW w:type="dxa" w:w="2033"/>
            <w:vAlign w:val="center"/>
          </w:tcPr>
          <w:p>
            <w:pPr>
              <w:spacing w:after="20"/>
            </w:pPr>
            <w:r/>
            <w:r>
              <w:rPr>
                <w:rFonts w:ascii="Calibri" w:hAnsi="Calibri"/>
                <w:b w:val="0"/>
                <w:sz w:val="16"/>
              </w:rPr>
              <w:t>91.92%</w:t>
            </w:r>
          </w:p>
        </w:tc>
        <w:tc>
          <w:tcPr>
            <w:tcW w:type="dxa" w:w="2033"/>
            <w:vAlign w:val="center"/>
          </w:tcPr>
          <w:p>
            <w:pPr>
              <w:spacing w:after="20"/>
            </w:pPr>
            <w:r/>
            <w:r>
              <w:rPr>
                <w:rFonts w:ascii="Calibri" w:hAnsi="Calibri"/>
                <w:b w:val="0"/>
                <w:sz w:val="16"/>
              </w:rPr>
            </w:r>
          </w:p>
        </w:tc>
      </w:tr>
      <w:tr>
        <w:tc>
          <w:tcPr>
            <w:tcW w:type="dxa" w:w="2033"/>
            <w:vAlign w:val="center"/>
            <w:shd w:fill="EEF4F6"/>
          </w:tcPr>
          <w:p>
            <w:pPr>
              <w:spacing w:after="20"/>
            </w:pPr>
            <w:r/>
            <w:r>
              <w:rPr>
                <w:rFonts w:ascii="Calibri" w:hAnsi="Calibri"/>
                <w:b w:val="0"/>
                <w:sz w:val="16"/>
              </w:rPr>
              <w:t>Gemini</w:t>
            </w:r>
          </w:p>
        </w:tc>
        <w:tc>
          <w:tcPr>
            <w:tcW w:type="dxa" w:w="2033"/>
            <w:vAlign w:val="center"/>
            <w:shd w:fill="EEF4F6"/>
          </w:tcPr>
          <w:p>
            <w:pPr>
              <w:spacing w:after="20"/>
            </w:pPr>
            <w:r/>
            <w:r>
              <w:rPr>
                <w:rFonts w:ascii="Calibri" w:hAnsi="Calibri"/>
                <w:b w:val="0"/>
                <w:sz w:val="16"/>
              </w:rPr>
              <w:t>Expanded</w:t>
            </w:r>
          </w:p>
        </w:tc>
        <w:tc>
          <w:tcPr>
            <w:tcW w:type="dxa" w:w="2033"/>
            <w:vAlign w:val="center"/>
            <w:shd w:fill="EEF4F6"/>
          </w:tcPr>
          <w:p>
            <w:pPr>
              <w:spacing w:after="20"/>
            </w:pPr>
            <w:r/>
            <w:r>
              <w:rPr>
                <w:rFonts w:ascii="Calibri" w:hAnsi="Calibri"/>
                <w:b w:val="0"/>
                <w:sz w:val="16"/>
              </w:rPr>
              <w:t>351/373</w:t>
            </w:r>
          </w:p>
        </w:tc>
        <w:tc>
          <w:tcPr>
            <w:tcW w:type="dxa" w:w="2033"/>
            <w:vAlign w:val="center"/>
            <w:shd w:fill="EEF4F6"/>
          </w:tcPr>
          <w:p>
            <w:pPr>
              <w:spacing w:after="20"/>
            </w:pPr>
            <w:r/>
            <w:r>
              <w:rPr>
                <w:rFonts w:ascii="Calibri" w:hAnsi="Calibri"/>
                <w:b w:val="0"/>
                <w:sz w:val="16"/>
              </w:rPr>
              <w:t>94.10%</w:t>
            </w:r>
          </w:p>
        </w:tc>
        <w:tc>
          <w:tcPr>
            <w:tcW w:type="dxa" w:w="2033"/>
            <w:vAlign w:val="center"/>
            <w:shd w:fill="EEF4F6"/>
          </w:tcPr>
          <w:p>
            <w:pPr>
              <w:spacing w:after="20"/>
            </w:pPr>
            <w:r/>
            <w:r>
              <w:rPr>
                <w:rFonts w:ascii="Calibri" w:hAnsi="Calibri"/>
                <w:b w:val="0"/>
                <w:sz w:val="16"/>
              </w:rPr>
              <w:t>+2.70 points; 95% CI −0.88 to +6.62; n=127 paired questions</w:t>
            </w:r>
          </w:p>
        </w:tc>
      </w:tr>
    </w:tbl>
    <w:p>
      <w:pPr>
        <w:spacing w:after="20"/>
      </w:pPr>
    </w:p>
    <w:p>
      <w:r>
        <w:t>These are claim-level proportions, not the fraction of answers that are wholly correct. A response can contain supported and unsupported claims. Gemini is also both one of the generators and the evaluator, creating possible self-judging bias; Qwen judgments still share the same evaluator bias. The Gemini expansion interval includes zero, so the measured improvement is not clear by that paired criterion.</w:t>
      </w:r>
    </w:p>
    <w:p>
      <w:pPr>
        <w:pStyle w:val="Heading2"/>
      </w:pPr>
      <w:r>
        <w:t>Independent review pilot</w:t>
      </w:r>
    </w:p>
    <w:p>
      <w:r>
        <w:t>The saved pilot covers 10 unique questions and 40 answer-condition records (two generators × plain/expanded). One GPT reviewer assigned answer-level grounding labels. Four questions were randomly retained and six were purposively targeted to inspect issues found by automated evaluation; DEV_Q206 was replaced because it nearly duplicated DEV_Q112. This selection is useful for finding failure patterns, but it is not a random estimate of full-set quality and is not human expert ground truth.</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04A"/>
          </w:tcPr>
          <w:p>
            <w:pPr>
              <w:spacing w:after="20"/>
            </w:pPr>
            <w:r/>
            <w:r>
              <w:rPr>
                <w:rFonts w:ascii="Calibri" w:hAnsi="Calibri"/>
                <w:b/>
                <w:color w:val="FFFFFF"/>
                <w:sz w:val="16"/>
              </w:rPr>
              <w:t>Condition</w:t>
            </w:r>
          </w:p>
        </w:tc>
        <w:tc>
          <w:tcPr>
            <w:tcW w:type="dxa" w:w="2541"/>
            <w:vAlign w:val="center"/>
            <w:shd w:fill="12304A"/>
          </w:tcPr>
          <w:p>
            <w:pPr>
              <w:spacing w:after="20"/>
            </w:pPr>
            <w:r/>
            <w:r>
              <w:rPr>
                <w:rFonts w:ascii="Calibri" w:hAnsi="Calibri"/>
                <w:b/>
                <w:color w:val="FFFFFF"/>
                <w:sz w:val="16"/>
              </w:rPr>
              <w:t>Supported</w:t>
            </w:r>
          </w:p>
        </w:tc>
        <w:tc>
          <w:tcPr>
            <w:tcW w:type="dxa" w:w="2541"/>
            <w:vAlign w:val="center"/>
            <w:shd w:fill="12304A"/>
          </w:tcPr>
          <w:p>
            <w:pPr>
              <w:spacing w:after="20"/>
            </w:pPr>
            <w:r/>
            <w:r>
              <w:rPr>
                <w:rFonts w:ascii="Calibri" w:hAnsi="Calibri"/>
                <w:b/>
                <w:color w:val="FFFFFF"/>
                <w:sz w:val="16"/>
              </w:rPr>
              <w:t>Partially supported</w:t>
            </w:r>
          </w:p>
        </w:tc>
        <w:tc>
          <w:tcPr>
            <w:tcW w:type="dxa" w:w="2541"/>
            <w:vAlign w:val="center"/>
            <w:shd w:fill="12304A"/>
          </w:tcPr>
          <w:p>
            <w:pPr>
              <w:spacing w:after="20"/>
            </w:pPr>
            <w:r/>
            <w:r>
              <w:rPr>
                <w:rFonts w:ascii="Calibri" w:hAnsi="Calibri"/>
                <w:b/>
                <w:color w:val="FFFFFF"/>
                <w:sz w:val="16"/>
              </w:rPr>
              <w:t>Unsupported / contradicted / appropriate abstention</w:t>
            </w:r>
          </w:p>
        </w:tc>
      </w:tr>
      <w:tr>
        <w:tc>
          <w:tcPr>
            <w:tcW w:type="dxa" w:w="2541"/>
            <w:vAlign w:val="center"/>
          </w:tcPr>
          <w:p>
            <w:pPr>
              <w:spacing w:after="20"/>
            </w:pPr>
            <w:r/>
            <w:r>
              <w:rPr>
                <w:rFonts w:ascii="Calibri" w:hAnsi="Calibri"/>
                <w:b w:val="0"/>
                <w:sz w:val="16"/>
              </w:rPr>
              <w:t>Qwen plain</w:t>
            </w:r>
          </w:p>
        </w:tc>
        <w:tc>
          <w:tcPr>
            <w:tcW w:type="dxa" w:w="2541"/>
            <w:vAlign w:val="center"/>
          </w:tcPr>
          <w:p>
            <w:pPr>
              <w:spacing w:after="20"/>
            </w:pPr>
            <w:r/>
            <w:r>
              <w:rPr>
                <w:rFonts w:ascii="Calibri" w:hAnsi="Calibri"/>
                <w:b w:val="0"/>
                <w:sz w:val="16"/>
              </w:rPr>
              <w:t>2</w:t>
            </w:r>
          </w:p>
        </w:tc>
        <w:tc>
          <w:tcPr>
            <w:tcW w:type="dxa" w:w="2541"/>
            <w:vAlign w:val="center"/>
          </w:tcPr>
          <w:p>
            <w:pPr>
              <w:spacing w:after="20"/>
            </w:pPr>
            <w:r/>
            <w:r>
              <w:rPr>
                <w:rFonts w:ascii="Calibri" w:hAnsi="Calibri"/>
                <w:b w:val="0"/>
                <w:sz w:val="16"/>
              </w:rPr>
              <w:t>5</w:t>
            </w:r>
          </w:p>
        </w:tc>
        <w:tc>
          <w:tcPr>
            <w:tcW w:type="dxa" w:w="2541"/>
            <w:vAlign w:val="center"/>
          </w:tcPr>
          <w:p>
            <w:pPr>
              <w:spacing w:after="20"/>
            </w:pPr>
            <w:r/>
            <w:r>
              <w:rPr>
                <w:rFonts w:ascii="Calibri" w:hAnsi="Calibri"/>
                <w:b w:val="0"/>
                <w:sz w:val="16"/>
              </w:rPr>
              <w:t>1 unsupported; 2 contradicted</w:t>
            </w:r>
          </w:p>
        </w:tc>
      </w:tr>
      <w:tr>
        <w:tc>
          <w:tcPr>
            <w:tcW w:type="dxa" w:w="2541"/>
            <w:vAlign w:val="center"/>
            <w:shd w:fill="EEF4F6"/>
          </w:tcPr>
          <w:p>
            <w:pPr>
              <w:spacing w:after="20"/>
            </w:pPr>
            <w:r/>
            <w:r>
              <w:rPr>
                <w:rFonts w:ascii="Calibri" w:hAnsi="Calibri"/>
                <w:b w:val="0"/>
                <w:sz w:val="16"/>
              </w:rPr>
              <w:t>Qwen expanded</w:t>
            </w:r>
          </w:p>
        </w:tc>
        <w:tc>
          <w:tcPr>
            <w:tcW w:type="dxa" w:w="2541"/>
            <w:vAlign w:val="center"/>
            <w:shd w:fill="EEF4F6"/>
          </w:tcPr>
          <w:p>
            <w:pPr>
              <w:spacing w:after="20"/>
            </w:pPr>
            <w:r/>
            <w:r>
              <w:rPr>
                <w:rFonts w:ascii="Calibri" w:hAnsi="Calibri"/>
                <w:b w:val="0"/>
                <w:sz w:val="16"/>
              </w:rPr>
              <w:t>3</w:t>
            </w:r>
          </w:p>
        </w:tc>
        <w:tc>
          <w:tcPr>
            <w:tcW w:type="dxa" w:w="2541"/>
            <w:vAlign w:val="center"/>
            <w:shd w:fill="EEF4F6"/>
          </w:tcPr>
          <w:p>
            <w:pPr>
              <w:spacing w:after="20"/>
            </w:pPr>
            <w:r/>
            <w:r>
              <w:rPr>
                <w:rFonts w:ascii="Calibri" w:hAnsi="Calibri"/>
                <w:b w:val="0"/>
                <w:sz w:val="16"/>
              </w:rPr>
              <w:t>5</w:t>
            </w:r>
          </w:p>
        </w:tc>
        <w:tc>
          <w:tcPr>
            <w:tcW w:type="dxa" w:w="2541"/>
            <w:vAlign w:val="center"/>
            <w:shd w:fill="EEF4F6"/>
          </w:tcPr>
          <w:p>
            <w:pPr>
              <w:spacing w:after="20"/>
            </w:pPr>
            <w:r/>
            <w:r>
              <w:rPr>
                <w:rFonts w:ascii="Calibri" w:hAnsi="Calibri"/>
                <w:b w:val="0"/>
                <w:sz w:val="16"/>
              </w:rPr>
              <w:t>1 unsupported; 1 contradicted</w:t>
            </w:r>
          </w:p>
        </w:tc>
      </w:tr>
      <w:tr>
        <w:tc>
          <w:tcPr>
            <w:tcW w:type="dxa" w:w="2541"/>
            <w:vAlign w:val="center"/>
          </w:tcPr>
          <w:p>
            <w:pPr>
              <w:spacing w:after="20"/>
            </w:pPr>
            <w:r/>
            <w:r>
              <w:rPr>
                <w:rFonts w:ascii="Calibri" w:hAnsi="Calibri"/>
                <w:b w:val="0"/>
                <w:sz w:val="16"/>
              </w:rPr>
              <w:t>Gemini plain</w:t>
            </w:r>
          </w:p>
        </w:tc>
        <w:tc>
          <w:tcPr>
            <w:tcW w:type="dxa" w:w="2541"/>
            <w:vAlign w:val="center"/>
          </w:tcPr>
          <w:p>
            <w:pPr>
              <w:spacing w:after="20"/>
            </w:pPr>
            <w:r/>
            <w:r>
              <w:rPr>
                <w:rFonts w:ascii="Calibri" w:hAnsi="Calibri"/>
                <w:b w:val="0"/>
                <w:sz w:val="16"/>
              </w:rPr>
              <w:t>4</w:t>
            </w:r>
          </w:p>
        </w:tc>
        <w:tc>
          <w:tcPr>
            <w:tcW w:type="dxa" w:w="2541"/>
            <w:vAlign w:val="center"/>
          </w:tcPr>
          <w:p>
            <w:pPr>
              <w:spacing w:after="20"/>
            </w:pPr>
            <w:r/>
            <w:r>
              <w:rPr>
                <w:rFonts w:ascii="Calibri" w:hAnsi="Calibri"/>
                <w:b w:val="0"/>
                <w:sz w:val="16"/>
              </w:rPr>
              <w:t>3</w:t>
            </w:r>
          </w:p>
        </w:tc>
        <w:tc>
          <w:tcPr>
            <w:tcW w:type="dxa" w:w="2541"/>
            <w:vAlign w:val="center"/>
          </w:tcPr>
          <w:p>
            <w:pPr>
              <w:spacing w:after="20"/>
            </w:pPr>
            <w:r/>
            <w:r>
              <w:rPr>
                <w:rFonts w:ascii="Calibri" w:hAnsi="Calibri"/>
                <w:b w:val="0"/>
                <w:sz w:val="16"/>
              </w:rPr>
              <w:t>3 appropriate abstentions</w:t>
            </w:r>
          </w:p>
        </w:tc>
      </w:tr>
      <w:tr>
        <w:tc>
          <w:tcPr>
            <w:tcW w:type="dxa" w:w="2541"/>
            <w:vAlign w:val="center"/>
            <w:shd w:fill="EEF4F6"/>
          </w:tcPr>
          <w:p>
            <w:pPr>
              <w:spacing w:after="20"/>
            </w:pPr>
            <w:r/>
            <w:r>
              <w:rPr>
                <w:rFonts w:ascii="Calibri" w:hAnsi="Calibri"/>
                <w:b w:val="0"/>
                <w:sz w:val="16"/>
              </w:rPr>
              <w:t>Gemini expanded</w:t>
            </w:r>
          </w:p>
        </w:tc>
        <w:tc>
          <w:tcPr>
            <w:tcW w:type="dxa" w:w="2541"/>
            <w:vAlign w:val="center"/>
            <w:shd w:fill="EEF4F6"/>
          </w:tcPr>
          <w:p>
            <w:pPr>
              <w:spacing w:after="20"/>
            </w:pPr>
            <w:r/>
            <w:r>
              <w:rPr>
                <w:rFonts w:ascii="Calibri" w:hAnsi="Calibri"/>
                <w:b w:val="0"/>
                <w:sz w:val="16"/>
              </w:rPr>
              <w:t>7</w:t>
            </w:r>
          </w:p>
        </w:tc>
        <w:tc>
          <w:tcPr>
            <w:tcW w:type="dxa" w:w="2541"/>
            <w:vAlign w:val="center"/>
            <w:shd w:fill="EEF4F6"/>
          </w:tcPr>
          <w:p>
            <w:pPr>
              <w:spacing w:after="20"/>
            </w:pPr>
            <w:r/>
            <w:r>
              <w:rPr>
                <w:rFonts w:ascii="Calibri" w:hAnsi="Calibri"/>
                <w:b w:val="0"/>
                <w:sz w:val="16"/>
              </w:rPr>
              <w:t>1</w:t>
            </w:r>
          </w:p>
        </w:tc>
        <w:tc>
          <w:tcPr>
            <w:tcW w:type="dxa" w:w="2541"/>
            <w:vAlign w:val="center"/>
            <w:shd w:fill="EEF4F6"/>
          </w:tcPr>
          <w:p>
            <w:pPr>
              <w:spacing w:after="20"/>
            </w:pPr>
            <w:r/>
            <w:r>
              <w:rPr>
                <w:rFonts w:ascii="Calibri" w:hAnsi="Calibri"/>
                <w:b w:val="0"/>
                <w:sz w:val="16"/>
              </w:rPr>
              <w:t>2 appropriate abstentions</w:t>
            </w:r>
          </w:p>
        </w:tc>
      </w:tr>
    </w:tbl>
    <w:p>
      <w:pPr>
        <w:spacing w:after="20"/>
      </w:pPr>
    </w:p>
    <w:p>
      <w:pPr>
        <w:pStyle w:val="Heading2"/>
      </w:pPr>
      <w:r>
        <w:t>Examples that explain the numbers</w:t>
      </w:r>
    </w:p>
    <w:p>
      <w:pPr>
        <w:pStyle w:val="ListBullet"/>
      </w:pPr>
      <w:r>
        <w:t>DEV_Q071: plain context had a diagnostic but not the exact IP configuration fix; adjacent evidence in expansion supplied the needed detail. This illustrates why context continuity can matter.</w:t>
      </w:r>
    </w:p>
    <w:p>
      <w:pPr>
        <w:pStyle w:val="ListBullet"/>
      </w:pPr>
      <w:r>
        <w:t>DEV_Q039: the context discussed other DataPower upgrade/low-memory material while the question asked about a specific 5.0.0.8 to 6.0 fixpack. A fluent, context-related answer can still miss the requested issue.</w:t>
      </w:r>
    </w:p>
    <w:p>
      <w:pPr>
        <w:pStyle w:val="ListBullet"/>
      </w:pPr>
      <w:r>
        <w:t>DEV_Q112: Qwen latched onto an unrelated actbar2.ocx Amos remedy for a Netcool question. This is distractor sensitivity: adding more context can help recall but also expose the model to misleading passages.</w:t>
      </w:r>
    </w:p>
    <w:p>
      <w:pPr>
        <w:pStyle w:val="ListBullet"/>
      </w:pPr>
      <w:r>
        <w:t>DEV_Q080: the note explicitly listed OUTPUT_TYPE STRING/INTEGER/FLOAT. Qwen claimed the implementation ignored types; Gemini distinguished the documented values more accurately. The example shows generator behavior matters after evidence is present.</w:t>
      </w:r>
    </w:p>
    <w:tbl>
      <w:tblPr>
        <w:tblStyle w:val="TableGrid"/>
        <w:tblW w:type="auto" w:w="0"/>
        <w:tblLook w:firstColumn="1" w:firstRow="1" w:lastColumn="0" w:lastRow="0" w:noHBand="0" w:noVBand="1" w:val="04A0"/>
      </w:tblPr>
      <w:tblGrid>
        <w:gridCol w:w="10166"/>
      </w:tblGrid>
      <w:tr>
        <w:tc>
          <w:tcPr>
            <w:tcW w:type="dxa" w:w="10166"/>
            <w:shd w:fill="E6F3F3"/>
          </w:tcPr>
          <w:p>
            <w:pPr>
              <w:spacing w:after="60"/>
            </w:pPr>
            <w:r/>
            <w:r>
              <w:rPr>
                <w:b/>
                <w:color w:val="087E8B"/>
              </w:rPr>
              <w:t xml:space="preserve">Takeaway  </w:t>
            </w:r>
            <w:r>
              <w:t>Reference similarity and evidence support are complementary. The pilot and judge results point to answer grounding and distractor handling as meaningful issues even when expanded context raises average reference similarity.</w:t>
            </w:r>
          </w:p>
        </w:tc>
      </w:tr>
    </w:tbl>
    <w:p>
      <w:pPr>
        <w:spacing w:after="20"/>
      </w:pPr>
    </w:p>
    <w:p>
      <w:r>
        <w:br w:type="page"/>
      </w:r>
    </w:p>
    <w:p>
      <w:pPr>
        <w:pStyle w:val="Heading1"/>
      </w:pPr>
      <w:r>
        <w:t>5. Failure attribution: where evidence is lost</w:t>
      </w:r>
    </w:p>
    <w:p>
      <w:r>
        <w:t>The 160-question attribution table joins source annotations, candidate retrieval, selected contexts, generated answers, and scores by stable question ID. It contains 160 unique questions and 105 columns. Its purpose is diagnosis, not a new single accuracy score.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Calibri" w:hAnsi="Calibri"/>
                <w:b/>
                <w:color w:val="FFFFFF"/>
                <w:sz w:val="16"/>
              </w:rPr>
              <w:t>Stage check</w:t>
            </w:r>
          </w:p>
        </w:tc>
        <w:tc>
          <w:tcPr>
            <w:tcW w:type="dxa" w:w="3389"/>
            <w:vAlign w:val="center"/>
            <w:shd w:fill="12304A"/>
          </w:tcPr>
          <w:p>
            <w:pPr>
              <w:spacing w:after="20"/>
            </w:pPr>
            <w:r/>
            <w:r>
              <w:rPr>
                <w:rFonts w:ascii="Calibri" w:hAnsi="Calibri"/>
                <w:b/>
                <w:color w:val="FFFFFF"/>
                <w:sz w:val="16"/>
              </w:rPr>
              <w:t>Count</w:t>
            </w:r>
          </w:p>
        </w:tc>
        <w:tc>
          <w:tcPr>
            <w:tcW w:type="dxa" w:w="3389"/>
            <w:vAlign w:val="center"/>
            <w:shd w:fill="12304A"/>
          </w:tcPr>
          <w:p>
            <w:pPr>
              <w:spacing w:after="20"/>
            </w:pPr>
            <w:r/>
            <w:r>
              <w:rPr>
                <w:rFonts w:ascii="Calibri" w:hAnsi="Calibri"/>
                <w:b/>
                <w:color w:val="FFFFFF"/>
                <w:sz w:val="16"/>
              </w:rPr>
              <w:t>Loss / caution</w:t>
            </w:r>
          </w:p>
        </w:tc>
      </w:tr>
      <w:tr>
        <w:tc>
          <w:tcPr>
            <w:tcW w:type="dxa" w:w="3389"/>
            <w:vAlign w:val="center"/>
          </w:tcPr>
          <w:p>
            <w:pPr>
              <w:spacing w:after="20"/>
            </w:pPr>
            <w:r/>
            <w:r>
              <w:rPr>
                <w:rFonts w:ascii="Calibri" w:hAnsi="Calibri"/>
                <w:b w:val="0"/>
                <w:sz w:val="16"/>
              </w:rPr>
              <w:t>Source document exists and offset range valid</w:t>
            </w:r>
          </w:p>
        </w:tc>
        <w:tc>
          <w:tcPr>
            <w:tcW w:type="dxa" w:w="3389"/>
            <w:vAlign w:val="center"/>
          </w:tcPr>
          <w:p>
            <w:pPr>
              <w:spacing w:after="20"/>
            </w:pPr>
            <w:r/>
            <w:r>
              <w:rPr>
                <w:rFonts w:ascii="Calibri" w:hAnsi="Calibri"/>
                <w:b w:val="0"/>
                <w:sz w:val="16"/>
              </w:rPr>
              <w:t>160/160</w:t>
            </w:r>
          </w:p>
        </w:tc>
        <w:tc>
          <w:tcPr>
            <w:tcW w:type="dxa" w:w="3389"/>
            <w:vAlign w:val="center"/>
          </w:tcPr>
          <w:p>
            <w:pPr>
              <w:spacing w:after="20"/>
            </w:pPr>
            <w:r/>
            <w:r>
              <w:rPr>
                <w:rFonts w:ascii="Calibri" w:hAnsi="Calibri"/>
                <w:b w:val="0"/>
                <w:sz w:val="16"/>
              </w:rPr>
              <w:t>No missing designated source or invalid span range in this check.</w:t>
            </w:r>
          </w:p>
        </w:tc>
      </w:tr>
      <w:tr>
        <w:tc>
          <w:tcPr>
            <w:tcW w:type="dxa" w:w="3389"/>
            <w:vAlign w:val="center"/>
            <w:shd w:fill="EEF4F6"/>
          </w:tcPr>
          <w:p>
            <w:pPr>
              <w:spacing w:after="20"/>
            </w:pPr>
            <w:r/>
            <w:r>
              <w:rPr>
                <w:rFonts w:ascii="Calibri" w:hAnsi="Calibri"/>
                <w:b w:val="0"/>
                <w:sz w:val="16"/>
              </w:rPr>
              <w:t>Reference exactly matches answer at supplied offset</w:t>
            </w:r>
          </w:p>
        </w:tc>
        <w:tc>
          <w:tcPr>
            <w:tcW w:type="dxa" w:w="3389"/>
            <w:vAlign w:val="center"/>
            <w:shd w:fill="EEF4F6"/>
          </w:tcPr>
          <w:p>
            <w:pPr>
              <w:spacing w:after="20"/>
            </w:pPr>
            <w:r/>
            <w:r>
              <w:rPr>
                <w:rFonts w:ascii="Calibri" w:hAnsi="Calibri"/>
                <w:b w:val="0"/>
                <w:sz w:val="16"/>
              </w:rPr>
              <w:t>149/160</w:t>
            </w:r>
          </w:p>
        </w:tc>
        <w:tc>
          <w:tcPr>
            <w:tcW w:type="dxa" w:w="3389"/>
            <w:vAlign w:val="center"/>
            <w:shd w:fill="EEF4F6"/>
          </w:tcPr>
          <w:p>
            <w:pPr>
              <w:spacing w:after="20"/>
            </w:pPr>
            <w:r/>
            <w:r>
              <w:rPr>
                <w:rFonts w:ascii="Calibri" w:hAnsi="Calibri"/>
                <w:b w:val="0"/>
                <w:sz w:val="16"/>
              </w:rPr>
              <w:t>Eleven offset/reference disagreements; some normalization/source annotation issues.</w:t>
            </w:r>
          </w:p>
        </w:tc>
      </w:tr>
      <w:tr>
        <w:tc>
          <w:tcPr>
            <w:tcW w:type="dxa" w:w="3389"/>
            <w:vAlign w:val="center"/>
          </w:tcPr>
          <w:p>
            <w:pPr>
              <w:spacing w:after="20"/>
            </w:pPr>
            <w:r/>
            <w:r>
              <w:rPr>
                <w:rFonts w:ascii="Calibri" w:hAnsi="Calibri"/>
                <w:b w:val="0"/>
                <w:sz w:val="16"/>
              </w:rPr>
              <w:t>Normalized reference appears in designated gold document</w:t>
            </w:r>
          </w:p>
        </w:tc>
        <w:tc>
          <w:tcPr>
            <w:tcW w:type="dxa" w:w="3389"/>
            <w:vAlign w:val="center"/>
          </w:tcPr>
          <w:p>
            <w:pPr>
              <w:spacing w:after="20"/>
            </w:pPr>
            <w:r/>
            <w:r>
              <w:rPr>
                <w:rFonts w:ascii="Calibri" w:hAnsi="Calibri"/>
                <w:b w:val="0"/>
                <w:sz w:val="16"/>
              </w:rPr>
              <w:t>151/158 non-empty</w:t>
            </w:r>
          </w:p>
        </w:tc>
        <w:tc>
          <w:tcPr>
            <w:tcW w:type="dxa" w:w="3389"/>
            <w:vAlign w:val="center"/>
          </w:tcPr>
          <w:p>
            <w:pPr>
              <w:spacing w:after="20"/>
            </w:pPr>
            <w:r/>
            <w:r>
              <w:rPr>
                <w:rFonts w:ascii="Calibri" w:hAnsi="Calibri"/>
                <w:b w:val="0"/>
                <w:sz w:val="16"/>
              </w:rPr>
              <w:t>Seven non-empty references absent from gold text; two empty references.</w:t>
            </w:r>
          </w:p>
        </w:tc>
      </w:tr>
      <w:tr>
        <w:tc>
          <w:tcPr>
            <w:tcW w:type="dxa" w:w="3389"/>
            <w:vAlign w:val="center"/>
            <w:shd w:fill="EEF4F6"/>
          </w:tcPr>
          <w:p>
            <w:pPr>
              <w:spacing w:after="20"/>
            </w:pPr>
            <w:r/>
            <w:r>
              <w:rPr>
                <w:rFonts w:ascii="Calibri" w:hAnsi="Calibri"/>
                <w:b w:val="0"/>
                <w:sz w:val="16"/>
              </w:rPr>
              <w:t>Gold document in candidate set</w:t>
            </w:r>
          </w:p>
        </w:tc>
        <w:tc>
          <w:tcPr>
            <w:tcW w:type="dxa" w:w="3389"/>
            <w:vAlign w:val="center"/>
            <w:shd w:fill="EEF4F6"/>
          </w:tcPr>
          <w:p>
            <w:pPr>
              <w:spacing w:after="20"/>
            </w:pPr>
            <w:r/>
            <w:r>
              <w:rPr>
                <w:rFonts w:ascii="Calibri" w:hAnsi="Calibri"/>
                <w:b w:val="0"/>
                <w:sz w:val="16"/>
              </w:rPr>
              <w:t>133/160</w:t>
            </w:r>
          </w:p>
        </w:tc>
        <w:tc>
          <w:tcPr>
            <w:tcW w:type="dxa" w:w="3389"/>
            <w:vAlign w:val="center"/>
            <w:shd w:fill="EEF4F6"/>
          </w:tcPr>
          <w:p>
            <w:pPr>
              <w:spacing w:after="20"/>
            </w:pPr>
            <w:r/>
            <w:r>
              <w:rPr>
                <w:rFonts w:ascii="Calibri" w:hAnsi="Calibri"/>
                <w:b w:val="0"/>
                <w:sz w:val="16"/>
              </w:rPr>
              <w:t>27 questions lose the designated note before passage selection.</w:t>
            </w:r>
          </w:p>
        </w:tc>
      </w:tr>
      <w:tr>
        <w:tc>
          <w:tcPr>
            <w:tcW w:type="dxa" w:w="3389"/>
            <w:vAlign w:val="center"/>
          </w:tcPr>
          <w:p>
            <w:pPr>
              <w:spacing w:after="20"/>
            </w:pPr>
            <w:r/>
            <w:r>
              <w:rPr>
                <w:rFonts w:ascii="Calibri" w:hAnsi="Calibri"/>
                <w:b w:val="0"/>
                <w:sz w:val="16"/>
              </w:rPr>
              <w:t>Answer span in top-20 ranked chunks</w:t>
            </w:r>
          </w:p>
        </w:tc>
        <w:tc>
          <w:tcPr>
            <w:tcW w:type="dxa" w:w="3389"/>
            <w:vAlign w:val="center"/>
          </w:tcPr>
          <w:p>
            <w:pPr>
              <w:spacing w:after="20"/>
            </w:pPr>
            <w:r/>
            <w:r>
              <w:rPr>
                <w:rFonts w:ascii="Calibri" w:hAnsi="Calibri"/>
                <w:b w:val="0"/>
                <w:sz w:val="16"/>
              </w:rPr>
              <w:t>91/160</w:t>
            </w:r>
          </w:p>
        </w:tc>
        <w:tc>
          <w:tcPr>
            <w:tcW w:type="dxa" w:w="3389"/>
            <w:vAlign w:val="center"/>
          </w:tcPr>
          <w:p>
            <w:pPr>
              <w:spacing w:after="20"/>
            </w:pPr>
            <w:r/>
            <w:r>
              <w:rPr>
                <w:rFonts w:ascii="Calibri" w:hAnsi="Calibri"/>
                <w:b w:val="0"/>
                <w:sz w:val="16"/>
              </w:rPr>
              <w:t>Evidence ranking/coverage loses additional cases.</w:t>
            </w:r>
          </w:p>
        </w:tc>
      </w:tr>
      <w:tr>
        <w:tc>
          <w:tcPr>
            <w:tcW w:type="dxa" w:w="3389"/>
            <w:vAlign w:val="center"/>
            <w:shd w:fill="EEF4F6"/>
          </w:tcPr>
          <w:p>
            <w:pPr>
              <w:spacing w:after="20"/>
            </w:pPr>
            <w:r/>
            <w:r>
              <w:rPr>
                <w:rFonts w:ascii="Calibri" w:hAnsi="Calibri"/>
                <w:b w:val="0"/>
                <w:sz w:val="16"/>
              </w:rPr>
              <w:t>Gold note selected in final context</w:t>
            </w:r>
          </w:p>
        </w:tc>
        <w:tc>
          <w:tcPr>
            <w:tcW w:type="dxa" w:w="3389"/>
            <w:vAlign w:val="center"/>
            <w:shd w:fill="EEF4F6"/>
          </w:tcPr>
          <w:p>
            <w:pPr>
              <w:spacing w:after="20"/>
            </w:pPr>
            <w:r/>
            <w:r>
              <w:rPr>
                <w:rFonts w:ascii="Calibri" w:hAnsi="Calibri"/>
                <w:b w:val="0"/>
                <w:sz w:val="16"/>
              </w:rPr>
              <w:t>97/160</w:t>
            </w:r>
          </w:p>
        </w:tc>
        <w:tc>
          <w:tcPr>
            <w:tcW w:type="dxa" w:w="3389"/>
            <w:vAlign w:val="center"/>
            <w:shd w:fill="EEF4F6"/>
          </w:tcPr>
          <w:p>
            <w:pPr>
              <w:spacing w:after="20"/>
            </w:pPr>
            <w:r/>
            <w:r>
              <w:rPr>
                <w:rFonts w:ascii="Calibri" w:hAnsi="Calibri"/>
                <w:b w:val="0"/>
                <w:sz w:val="16"/>
              </w:rPr>
              <w:t>Final passage/context selection is a major narrowing point.</w:t>
            </w:r>
          </w:p>
        </w:tc>
      </w:tr>
      <w:tr>
        <w:tc>
          <w:tcPr>
            <w:tcW w:type="dxa" w:w="3389"/>
            <w:vAlign w:val="center"/>
          </w:tcPr>
          <w:p>
            <w:pPr>
              <w:spacing w:after="20"/>
            </w:pPr>
            <w:r/>
            <w:r>
              <w:rPr>
                <w:rFonts w:ascii="Calibri" w:hAnsi="Calibri"/>
                <w:b w:val="0"/>
                <w:sz w:val="16"/>
              </w:rPr>
              <w:t>Gold offset span covered by plain / expanded context</w:t>
            </w:r>
          </w:p>
        </w:tc>
        <w:tc>
          <w:tcPr>
            <w:tcW w:type="dxa" w:w="3389"/>
            <w:vAlign w:val="center"/>
          </w:tcPr>
          <w:p>
            <w:pPr>
              <w:spacing w:after="20"/>
            </w:pPr>
            <w:r/>
            <w:r>
              <w:rPr>
                <w:rFonts w:ascii="Calibri" w:hAnsi="Calibri"/>
                <w:b w:val="0"/>
                <w:sz w:val="16"/>
              </w:rPr>
              <w:t>47 / 75 of 160</w:t>
            </w:r>
          </w:p>
        </w:tc>
        <w:tc>
          <w:tcPr>
            <w:tcW w:type="dxa" w:w="3389"/>
            <w:vAlign w:val="center"/>
          </w:tcPr>
          <w:p>
            <w:pPr>
              <w:spacing w:after="20"/>
            </w:pPr>
            <w:r/>
            <w:r>
              <w:rPr>
                <w:rFonts w:ascii="Calibri" w:hAnsi="Calibri"/>
                <w:b w:val="0"/>
                <w:sz w:val="16"/>
              </w:rPr>
              <w:t>Adjacent expansion recovers 28 additional spans by this measure.</w:t>
            </w:r>
          </w:p>
        </w:tc>
      </w:tr>
      <w:tr>
        <w:tc>
          <w:tcPr>
            <w:tcW w:type="dxa" w:w="3389"/>
            <w:vAlign w:val="center"/>
            <w:shd w:fill="EEF4F6"/>
          </w:tcPr>
          <w:p>
            <w:pPr>
              <w:spacing w:after="20"/>
            </w:pPr>
            <w:r/>
            <w:r>
              <w:rPr>
                <w:rFonts w:ascii="Calibri" w:hAnsi="Calibri"/>
                <w:b w:val="0"/>
                <w:sz w:val="16"/>
              </w:rPr>
              <w:t>Normalized reference in plain / expanded context</w:t>
            </w:r>
          </w:p>
        </w:tc>
        <w:tc>
          <w:tcPr>
            <w:tcW w:type="dxa" w:w="3389"/>
            <w:vAlign w:val="center"/>
            <w:shd w:fill="EEF4F6"/>
          </w:tcPr>
          <w:p>
            <w:pPr>
              <w:spacing w:after="20"/>
            </w:pPr>
            <w:r/>
            <w:r>
              <w:rPr>
                <w:rFonts w:ascii="Calibri" w:hAnsi="Calibri"/>
                <w:b w:val="0"/>
                <w:sz w:val="16"/>
              </w:rPr>
              <w:t>45 / 71 of 160</w:t>
            </w:r>
          </w:p>
        </w:tc>
        <w:tc>
          <w:tcPr>
            <w:tcW w:type="dxa" w:w="3389"/>
            <w:vAlign w:val="center"/>
            <w:shd w:fill="EEF4F6"/>
          </w:tcPr>
          <w:p>
            <w:pPr>
              <w:spacing w:after="20"/>
            </w:pPr>
            <w:r/>
            <w:r>
              <w:rPr>
                <w:rFonts w:ascii="Calibri" w:hAnsi="Calibri"/>
                <w:b w:val="0"/>
                <w:sz w:val="16"/>
              </w:rPr>
              <w:t>Answer string containment also improves, but is affected by reference/source mismatch.</w:t>
            </w:r>
          </w:p>
        </w:tc>
      </w:tr>
    </w:tbl>
    <w:p>
      <w:pPr>
        <w:spacing w:after="20"/>
      </w:pPr>
    </w:p>
    <w:p>
      <w:pPr>
        <w:pStyle w:val="Heading2"/>
      </w:pPr>
      <w:r>
        <w:t>Conditional diagnostic: when the reference string is in context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Calibri" w:hAnsi="Calibri"/>
                <w:b/>
                <w:color w:val="FFFFFF"/>
                <w:sz w:val="16"/>
              </w:rPr>
              <w:t>Generator/context</w:t>
            </w:r>
          </w:p>
        </w:tc>
        <w:tc>
          <w:tcPr>
            <w:tcW w:type="dxa" w:w="3389"/>
            <w:vAlign w:val="center"/>
            <w:shd w:fill="12304A"/>
          </w:tcPr>
          <w:p>
            <w:pPr>
              <w:spacing w:after="20"/>
            </w:pPr>
            <w:r/>
            <w:r>
              <w:rPr>
                <w:rFonts w:ascii="Calibri" w:hAnsi="Calibri"/>
                <w:b/>
                <w:color w:val="FFFFFF"/>
                <w:sz w:val="16"/>
              </w:rPr>
              <w:t>Reference present</w:t>
            </w:r>
          </w:p>
        </w:tc>
        <w:tc>
          <w:tcPr>
            <w:tcW w:type="dxa" w:w="3389"/>
            <w:vAlign w:val="center"/>
            <w:shd w:fill="12304A"/>
          </w:tcPr>
          <w:p>
            <w:pPr>
              <w:spacing w:after="20"/>
            </w:pPr>
            <w:r/>
            <w:r>
              <w:rPr>
                <w:rFonts w:ascii="Calibri" w:hAnsi="Calibri"/>
                <w:b/>
                <w:color w:val="FFFFFF"/>
                <w:sz w:val="16"/>
              </w:rPr>
              <w:t>Reference absent</w:t>
            </w:r>
          </w:p>
        </w:tc>
      </w:tr>
      <w:tr>
        <w:tc>
          <w:tcPr>
            <w:tcW w:type="dxa" w:w="3389"/>
            <w:vAlign w:val="center"/>
          </w:tcPr>
          <w:p>
            <w:pPr>
              <w:spacing w:after="20"/>
            </w:pPr>
            <w:r/>
            <w:r>
              <w:rPr>
                <w:rFonts w:ascii="Calibri" w:hAnsi="Calibri"/>
                <w:b w:val="0"/>
                <w:sz w:val="16"/>
              </w:rPr>
              <w:t>Qwen plain Token F1</w:t>
            </w:r>
          </w:p>
        </w:tc>
        <w:tc>
          <w:tcPr>
            <w:tcW w:type="dxa" w:w="3389"/>
            <w:vAlign w:val="center"/>
          </w:tcPr>
          <w:p>
            <w:pPr>
              <w:spacing w:after="20"/>
            </w:pPr>
            <w:r/>
            <w:r>
              <w:rPr>
                <w:rFonts w:ascii="Calibri" w:hAnsi="Calibri"/>
                <w:b w:val="0"/>
                <w:sz w:val="16"/>
              </w:rPr>
              <w:t>.263</w:t>
            </w:r>
          </w:p>
        </w:tc>
        <w:tc>
          <w:tcPr>
            <w:tcW w:type="dxa" w:w="3389"/>
            <w:vAlign w:val="center"/>
          </w:tcPr>
          <w:p>
            <w:pPr>
              <w:spacing w:after="20"/>
            </w:pPr>
            <w:r/>
            <w:r>
              <w:rPr>
                <w:rFonts w:ascii="Calibri" w:hAnsi="Calibri"/>
                <w:b w:val="0"/>
                <w:sz w:val="16"/>
              </w:rPr>
              <w:t>.182</w:t>
            </w:r>
          </w:p>
        </w:tc>
      </w:tr>
      <w:tr>
        <w:tc>
          <w:tcPr>
            <w:tcW w:type="dxa" w:w="3389"/>
            <w:vAlign w:val="center"/>
            <w:shd w:fill="EEF4F6"/>
          </w:tcPr>
          <w:p>
            <w:pPr>
              <w:spacing w:after="20"/>
            </w:pPr>
            <w:r/>
            <w:r>
              <w:rPr>
                <w:rFonts w:ascii="Calibri" w:hAnsi="Calibri"/>
                <w:b w:val="0"/>
                <w:sz w:val="16"/>
              </w:rPr>
              <w:t>Qwen expanded Token F1</w:t>
            </w:r>
          </w:p>
        </w:tc>
        <w:tc>
          <w:tcPr>
            <w:tcW w:type="dxa" w:w="3389"/>
            <w:vAlign w:val="center"/>
            <w:shd w:fill="EEF4F6"/>
          </w:tcPr>
          <w:p>
            <w:pPr>
              <w:spacing w:after="20"/>
            </w:pPr>
            <w:r/>
            <w:r>
              <w:rPr>
                <w:rFonts w:ascii="Calibri" w:hAnsi="Calibri"/>
                <w:b w:val="0"/>
                <w:sz w:val="16"/>
              </w:rPr>
              <w:t>.266</w:t>
            </w:r>
          </w:p>
        </w:tc>
        <w:tc>
          <w:tcPr>
            <w:tcW w:type="dxa" w:w="3389"/>
            <w:vAlign w:val="center"/>
            <w:shd w:fill="EEF4F6"/>
          </w:tcPr>
          <w:p>
            <w:pPr>
              <w:spacing w:after="20"/>
            </w:pPr>
            <w:r/>
            <w:r>
              <w:rPr>
                <w:rFonts w:ascii="Calibri" w:hAnsi="Calibri"/>
                <w:b w:val="0"/>
                <w:sz w:val="16"/>
              </w:rPr>
              <w:t>.204</w:t>
            </w:r>
          </w:p>
        </w:tc>
      </w:tr>
      <w:tr>
        <w:tc>
          <w:tcPr>
            <w:tcW w:type="dxa" w:w="3389"/>
            <w:vAlign w:val="center"/>
          </w:tcPr>
          <w:p>
            <w:pPr>
              <w:spacing w:after="20"/>
            </w:pPr>
            <w:r/>
            <w:r>
              <w:rPr>
                <w:rFonts w:ascii="Calibri" w:hAnsi="Calibri"/>
                <w:b w:val="0"/>
                <w:sz w:val="16"/>
              </w:rPr>
              <w:t>Gemini plain Token F1</w:t>
            </w:r>
          </w:p>
        </w:tc>
        <w:tc>
          <w:tcPr>
            <w:tcW w:type="dxa" w:w="3389"/>
            <w:vAlign w:val="center"/>
          </w:tcPr>
          <w:p>
            <w:pPr>
              <w:spacing w:after="20"/>
            </w:pPr>
            <w:r/>
            <w:r>
              <w:rPr>
                <w:rFonts w:ascii="Calibri" w:hAnsi="Calibri"/>
                <w:b w:val="0"/>
                <w:sz w:val="16"/>
              </w:rPr>
              <w:t>.432</w:t>
            </w:r>
          </w:p>
        </w:tc>
        <w:tc>
          <w:tcPr>
            <w:tcW w:type="dxa" w:w="3389"/>
            <w:vAlign w:val="center"/>
          </w:tcPr>
          <w:p>
            <w:pPr>
              <w:spacing w:after="20"/>
            </w:pPr>
            <w:r/>
            <w:r>
              <w:rPr>
                <w:rFonts w:ascii="Calibri" w:hAnsi="Calibri"/>
                <w:b w:val="0"/>
                <w:sz w:val="16"/>
              </w:rPr>
              <w:t>.202</w:t>
            </w:r>
          </w:p>
        </w:tc>
      </w:tr>
      <w:tr>
        <w:tc>
          <w:tcPr>
            <w:tcW w:type="dxa" w:w="3389"/>
            <w:vAlign w:val="center"/>
            <w:shd w:fill="EEF4F6"/>
          </w:tcPr>
          <w:p>
            <w:pPr>
              <w:spacing w:after="20"/>
            </w:pPr>
            <w:r/>
            <w:r>
              <w:rPr>
                <w:rFonts w:ascii="Calibri" w:hAnsi="Calibri"/>
                <w:b w:val="0"/>
                <w:sz w:val="16"/>
              </w:rPr>
              <w:t>Gemini expanded Token F1</w:t>
            </w:r>
          </w:p>
        </w:tc>
        <w:tc>
          <w:tcPr>
            <w:tcW w:type="dxa" w:w="3389"/>
            <w:vAlign w:val="center"/>
            <w:shd w:fill="EEF4F6"/>
          </w:tcPr>
          <w:p>
            <w:pPr>
              <w:spacing w:after="20"/>
            </w:pPr>
            <w:r/>
            <w:r>
              <w:rPr>
                <w:rFonts w:ascii="Calibri" w:hAnsi="Calibri"/>
                <w:b w:val="0"/>
                <w:sz w:val="16"/>
              </w:rPr>
              <w:t>.444</w:t>
            </w:r>
          </w:p>
        </w:tc>
        <w:tc>
          <w:tcPr>
            <w:tcW w:type="dxa" w:w="3389"/>
            <w:vAlign w:val="center"/>
            <w:shd w:fill="EEF4F6"/>
          </w:tcPr>
          <w:p>
            <w:pPr>
              <w:spacing w:after="20"/>
            </w:pPr>
            <w:r/>
            <w:r>
              <w:rPr>
                <w:rFonts w:ascii="Calibri" w:hAnsi="Calibri"/>
                <w:b w:val="0"/>
                <w:sz w:val="16"/>
              </w:rPr>
              <w:t>.215</w:t>
            </w:r>
          </w:p>
        </w:tc>
      </w:tr>
    </w:tbl>
    <w:p>
      <w:pPr>
        <w:spacing w:after="20"/>
      </w:pPr>
    </w:p>
    <w:p>
      <w:r>
        <w:t>Scores are higher on average when the normalized reference appears in context, especially for Gemini. This supports the hypothesis that evidence access matters. However, presence of the reference string is not the same as presence of sufficient evidence, and the groups differ in question difficulty. It is a diagnostic association, not a causal estimate.</w:t>
      </w:r>
    </w:p>
    <w:p>
      <w:pPr>
        <w:pStyle w:val="Heading2"/>
      </w:pPr>
      <w:r>
        <w:t>What is likely the biggest bottleneck?</w:t>
      </w:r>
    </w:p>
    <w:p>
      <w:pPr>
        <w:pStyle w:val="ListBullet"/>
      </w:pPr>
      <w:r>
        <w:t>Measured evidence bottleneck: context selection/answer-bearing passage placement. The transition from 133 gold documents in the candidate pool to 47 plain-context span hits is much larger than the small preprocessing preservation gap. Expansion recovers substantial evidence.</w:t>
      </w:r>
    </w:p>
    <w:p>
      <w:pPr>
        <w:pStyle w:val="ListBullet"/>
      </w:pPr>
      <w:r>
        <w:t>Also present: upstream candidate misses (27/160), source/reference mismatches, and generator errors when evidence is present. The system has multiple failure sources; fixing one cannot make the other categories disappear.</w:t>
      </w:r>
    </w:p>
    <w:p>
      <w:pPr>
        <w:pStyle w:val="ListBullet"/>
      </w:pPr>
      <w:r>
        <w:t>Not established: the exact causal share attributable to each stage. A perfect stage-by-stage causal attribution needs controlled oracle substitutions per question. Existing counts are strong diagnostics but some stage denominators/definitions differ.</w:t>
      </w:r>
    </w:p>
    <w:p>
      <w:pPr>
        <w:pStyle w:val="Heading2"/>
      </w:pPr>
      <w:r>
        <w:t>Oracle-context result</w:t>
      </w:r>
    </w:p>
    <w:p>
      <w:r>
        <w:t>The saved Qwen oracle run shows Token F1 .3110 and ROUGE-L .2432 with an annotated answer passage, versus retrieved expanded context around .232 Token F1 and .174 ROUGE-L. Full gold note scored .2989/.2351; ten full notes were truncated by the input cap. This suggests better evidence could help Qwen, but the oracle passage may contain the answer directly and is not available at inference. It is a ceiling diagnostic for the reader under this prompt/model, not a deployable result. Gemini was not run on oracle context.</w:t>
      </w:r>
    </w:p>
    <w:p>
      <w:r>
        <w:br w:type="page"/>
      </w:r>
    </w:p>
    <w:p>
      <w:pPr>
        <w:pStyle w:val="Heading1"/>
      </w:pPr>
      <w:r>
        <w:t>6. Experiment postmortem and component decisions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04A"/>
          </w:tcPr>
          <w:p>
            <w:pPr>
              <w:spacing w:after="20"/>
            </w:pPr>
            <w:r/>
            <w:r>
              <w:rPr>
                <w:rFonts w:ascii="Calibri" w:hAnsi="Calibri"/>
                <w:b/>
                <w:color w:val="FFFFFF"/>
                <w:sz w:val="16"/>
              </w:rPr>
              <w:t>Attempt</w:t>
            </w:r>
          </w:p>
        </w:tc>
        <w:tc>
          <w:tcPr>
            <w:tcW w:type="dxa" w:w="2541"/>
            <w:vAlign w:val="center"/>
            <w:shd w:fill="12304A"/>
          </w:tcPr>
          <w:p>
            <w:pPr>
              <w:spacing w:after="20"/>
            </w:pPr>
            <w:r/>
            <w:r>
              <w:rPr>
                <w:rFonts w:ascii="Calibri" w:hAnsi="Calibri"/>
                <w:b/>
                <w:color w:val="FFFFFF"/>
                <w:sz w:val="16"/>
              </w:rPr>
              <w:t>What it was meant to fix</w:t>
            </w:r>
          </w:p>
        </w:tc>
        <w:tc>
          <w:tcPr>
            <w:tcW w:type="dxa" w:w="2541"/>
            <w:vAlign w:val="center"/>
            <w:shd w:fill="12304A"/>
          </w:tcPr>
          <w:p>
            <w:pPr>
              <w:spacing w:after="20"/>
            </w:pPr>
            <w:r/>
            <w:r>
              <w:rPr>
                <w:rFonts w:ascii="Calibri" w:hAnsi="Calibri"/>
                <w:b/>
                <w:color w:val="FFFFFF"/>
                <w:sz w:val="16"/>
              </w:rPr>
              <w:t>Verified outcome / limitation</w:t>
            </w:r>
          </w:p>
        </w:tc>
        <w:tc>
          <w:tcPr>
            <w:tcW w:type="dxa" w:w="2541"/>
            <w:vAlign w:val="center"/>
            <w:shd w:fill="12304A"/>
          </w:tcPr>
          <w:p>
            <w:pPr>
              <w:spacing w:after="20"/>
            </w:pPr>
            <w:r/>
            <w:r>
              <w:rPr>
                <w:rFonts w:ascii="Calibri" w:hAnsi="Calibri"/>
                <w:b/>
                <w:color w:val="FFFFFF"/>
                <w:sz w:val="16"/>
              </w:rPr>
              <w:t>Decision</w:t>
            </w:r>
          </w:p>
        </w:tc>
      </w:tr>
      <w:tr>
        <w:tc>
          <w:tcPr>
            <w:tcW w:type="dxa" w:w="2541"/>
            <w:vAlign w:val="center"/>
          </w:tcPr>
          <w:p>
            <w:pPr>
              <w:spacing w:after="20"/>
            </w:pPr>
            <w:r/>
            <w:r>
              <w:rPr>
                <w:rFonts w:ascii="Calibri" w:hAnsi="Calibri"/>
                <w:b w:val="0"/>
                <w:sz w:val="16"/>
              </w:rPr>
              <w:t>BGE-M3 + lexical/title hybrid retrieval</w:t>
            </w:r>
          </w:p>
        </w:tc>
        <w:tc>
          <w:tcPr>
            <w:tcW w:type="dxa" w:w="2541"/>
            <w:vAlign w:val="center"/>
          </w:tcPr>
          <w:p>
            <w:pPr>
              <w:spacing w:after="20"/>
            </w:pPr>
            <w:r/>
            <w:r>
              <w:rPr>
                <w:rFonts w:ascii="Calibri" w:hAnsi="Calibri"/>
                <w:b w:val="0"/>
                <w:sz w:val="16"/>
              </w:rPr>
              <w:t>Semantic mismatch plus IBM identifiers, products, versions</w:t>
            </w:r>
          </w:p>
        </w:tc>
        <w:tc>
          <w:tcPr>
            <w:tcW w:type="dxa" w:w="2541"/>
            <w:vAlign w:val="center"/>
          </w:tcPr>
          <w:p>
            <w:pPr>
              <w:spacing w:after="20"/>
            </w:pPr>
            <w:r/>
            <w:r>
              <w:rPr>
                <w:rFonts w:ascii="Calibri" w:hAnsi="Calibri"/>
                <w:b w:val="0"/>
                <w:sz w:val="16"/>
              </w:rPr>
              <w:t>Useful broad candidate retrieval; gold note Recall@20 83.1%. Does not ensure answer passage makes final context.</w:t>
            </w:r>
          </w:p>
        </w:tc>
        <w:tc>
          <w:tcPr>
            <w:tcW w:type="dxa" w:w="2541"/>
            <w:vAlign w:val="center"/>
          </w:tcPr>
          <w:p>
            <w:pPr>
              <w:spacing w:after="20"/>
            </w:pPr>
            <w:r/>
            <w:r>
              <w:rPr>
                <w:rFonts w:ascii="Calibri" w:hAnsi="Calibri"/>
                <w:b w:val="0"/>
                <w:sz w:val="16"/>
              </w:rPr>
              <w:t>RETAIN as current candidate-retrieval baseline; document exact config.</w:t>
            </w:r>
          </w:p>
        </w:tc>
      </w:tr>
      <w:tr>
        <w:tc>
          <w:tcPr>
            <w:tcW w:type="dxa" w:w="2541"/>
            <w:vAlign w:val="center"/>
            <w:shd w:fill="EEF4F6"/>
          </w:tcPr>
          <w:p>
            <w:pPr>
              <w:spacing w:after="20"/>
            </w:pPr>
            <w:r/>
            <w:r>
              <w:rPr>
                <w:rFonts w:ascii="Calibri" w:hAnsi="Calibri"/>
                <w:b w:val="0"/>
                <w:sz w:val="16"/>
              </w:rPr>
              <w:t>BM25 passage ranker</w:t>
            </w:r>
          </w:p>
        </w:tc>
        <w:tc>
          <w:tcPr>
            <w:tcW w:type="dxa" w:w="2541"/>
            <w:vAlign w:val="center"/>
            <w:shd w:fill="EEF4F6"/>
          </w:tcPr>
          <w:p>
            <w:pPr>
              <w:spacing w:after="20"/>
            </w:pPr>
            <w:r/>
            <w:r>
              <w:rPr>
                <w:rFonts w:ascii="Calibri" w:hAnsi="Calibri"/>
                <w:b w:val="0"/>
                <w:sz w:val="16"/>
              </w:rPr>
              <w:t>Exact strings and technical terms inside fixed candidate documents</w:t>
            </w:r>
          </w:p>
        </w:tc>
        <w:tc>
          <w:tcPr>
            <w:tcW w:type="dxa" w:w="2541"/>
            <w:vAlign w:val="center"/>
            <w:shd w:fill="EEF4F6"/>
          </w:tcPr>
          <w:p>
            <w:pPr>
              <w:spacing w:after="20"/>
            </w:pPr>
            <w:r/>
            <w:r>
              <w:rPr>
                <w:rFonts w:ascii="Calibri" w:hAnsi="Calibri"/>
                <w:b w:val="0"/>
                <w:sz w:val="16"/>
              </w:rPr>
              <w:t>Beat tested BGE-M3-only passage ranker on plain/expanded span and reference containment in this setup.</w:t>
            </w:r>
          </w:p>
        </w:tc>
        <w:tc>
          <w:tcPr>
            <w:tcW w:type="dxa" w:w="2541"/>
            <w:vAlign w:val="center"/>
            <w:shd w:fill="EEF4F6"/>
          </w:tcPr>
          <w:p>
            <w:pPr>
              <w:spacing w:after="20"/>
            </w:pPr>
            <w:r/>
            <w:r>
              <w:rPr>
                <w:rFonts w:ascii="Calibri" w:hAnsi="Calibri"/>
                <w:b w:val="0"/>
                <w:sz w:val="16"/>
              </w:rPr>
              <w:t>RETAIN for baseline; preserve matched comparison.</w:t>
            </w:r>
          </w:p>
        </w:tc>
      </w:tr>
      <w:tr>
        <w:tc>
          <w:tcPr>
            <w:tcW w:type="dxa" w:w="2541"/>
            <w:vAlign w:val="center"/>
          </w:tcPr>
          <w:p>
            <w:pPr>
              <w:spacing w:after="20"/>
            </w:pPr>
            <w:r/>
            <w:r>
              <w:rPr>
                <w:rFonts w:ascii="Calibri" w:hAnsi="Calibri"/>
                <w:b w:val="0"/>
                <w:sz w:val="16"/>
              </w:rPr>
              <w:t>BGE-M3-only passage ranking</w:t>
            </w:r>
          </w:p>
        </w:tc>
        <w:tc>
          <w:tcPr>
            <w:tcW w:type="dxa" w:w="2541"/>
            <w:vAlign w:val="center"/>
          </w:tcPr>
          <w:p>
            <w:pPr>
              <w:spacing w:after="20"/>
            </w:pPr>
            <w:r/>
            <w:r>
              <w:rPr>
                <w:rFonts w:ascii="Calibri" w:hAnsi="Calibri"/>
                <w:b w:val="0"/>
                <w:sz w:val="16"/>
              </w:rPr>
              <w:t>Semantic passage match when wording differs</w:t>
            </w:r>
          </w:p>
        </w:tc>
        <w:tc>
          <w:tcPr>
            <w:tcW w:type="dxa" w:w="2541"/>
            <w:vAlign w:val="center"/>
          </w:tcPr>
          <w:p>
            <w:pPr>
              <w:spacing w:after="20"/>
            </w:pPr>
            <w:r/>
            <w:r>
              <w:rPr>
                <w:rFonts w:ascii="Calibri" w:hAnsi="Calibri"/>
                <w:b w:val="0"/>
                <w:sz w:val="16"/>
              </w:rPr>
              <w:t>Lower than BM25 on measured context metrics. Archive covers 18,351 vectors, not all chunks.</w:t>
            </w:r>
          </w:p>
        </w:tc>
        <w:tc>
          <w:tcPr>
            <w:tcW w:type="dxa" w:w="2541"/>
            <w:vAlign w:val="center"/>
          </w:tcPr>
          <w:p>
            <w:pPr>
              <w:spacing w:after="20"/>
            </w:pPr>
            <w:r/>
            <w:r>
              <w:rPr>
                <w:rFonts w:ascii="Calibri" w:hAnsi="Calibri"/>
                <w:b w:val="0"/>
                <w:sz w:val="16"/>
              </w:rPr>
              <w:t>Do not substitute on current evidence; keep as comparator.</w:t>
            </w:r>
          </w:p>
        </w:tc>
      </w:tr>
      <w:tr>
        <w:tc>
          <w:tcPr>
            <w:tcW w:type="dxa" w:w="2541"/>
            <w:vAlign w:val="center"/>
            <w:shd w:fill="EEF4F6"/>
          </w:tcPr>
          <w:p>
            <w:pPr>
              <w:spacing w:after="20"/>
            </w:pPr>
            <w:r/>
            <w:r>
              <w:rPr>
                <w:rFonts w:ascii="Calibri" w:hAnsi="Calibri"/>
                <w:b w:val="0"/>
                <w:sz w:val="16"/>
              </w:rPr>
              <w:t>Adjacent-chunk expansion</w:t>
            </w:r>
          </w:p>
        </w:tc>
        <w:tc>
          <w:tcPr>
            <w:tcW w:type="dxa" w:w="2541"/>
            <w:vAlign w:val="center"/>
            <w:shd w:fill="EEF4F6"/>
          </w:tcPr>
          <w:p>
            <w:pPr>
              <w:spacing w:after="20"/>
            </w:pPr>
            <w:r/>
            <w:r>
              <w:rPr>
                <w:rFonts w:ascii="Calibri" w:hAnsi="Calibri"/>
                <w:b w:val="0"/>
                <w:sz w:val="16"/>
              </w:rPr>
              <w:t>Recover explanations split across chunk boundaries</w:t>
            </w:r>
          </w:p>
        </w:tc>
        <w:tc>
          <w:tcPr>
            <w:tcW w:type="dxa" w:w="2541"/>
            <w:vAlign w:val="center"/>
            <w:shd w:fill="EEF4F6"/>
          </w:tcPr>
          <w:p>
            <w:pPr>
              <w:spacing w:after="20"/>
            </w:pPr>
            <w:r/>
            <w:r>
              <w:rPr>
                <w:rFonts w:ascii="Calibri" w:hAnsi="Calibri"/>
                <w:b w:val="0"/>
                <w:sz w:val="16"/>
              </w:rPr>
              <w:t>Span coverage 47→75/160; answer metrics rose for Qwen and Gemini; mean context grew about 70%.</w:t>
            </w:r>
          </w:p>
        </w:tc>
        <w:tc>
          <w:tcPr>
            <w:tcW w:type="dxa" w:w="2541"/>
            <w:vAlign w:val="center"/>
            <w:shd w:fill="EEF4F6"/>
          </w:tcPr>
          <w:p>
            <w:pPr>
              <w:spacing w:after="20"/>
            </w:pPr>
            <w:r/>
            <w:r>
              <w:rPr>
                <w:rFonts w:ascii="Calibri" w:hAnsi="Calibri"/>
                <w:b w:val="0"/>
                <w:sz w:val="16"/>
              </w:rPr>
              <w:t>RETAIN as tested option; tune only under fixed token budget.</w:t>
            </w:r>
          </w:p>
        </w:tc>
      </w:tr>
      <w:tr>
        <w:tc>
          <w:tcPr>
            <w:tcW w:type="dxa" w:w="2541"/>
            <w:vAlign w:val="center"/>
          </w:tcPr>
          <w:p>
            <w:pPr>
              <w:spacing w:after="20"/>
            </w:pPr>
            <w:r/>
            <w:r>
              <w:rPr>
                <w:rFonts w:ascii="Calibri" w:hAnsi="Calibri"/>
                <w:b w:val="0"/>
                <w:sz w:val="16"/>
              </w:rPr>
              <w:t>Cross-encoder BAAI/bge-reranker-base</w:t>
            </w:r>
          </w:p>
        </w:tc>
        <w:tc>
          <w:tcPr>
            <w:tcW w:type="dxa" w:w="2541"/>
            <w:vAlign w:val="center"/>
          </w:tcPr>
          <w:p>
            <w:pPr>
              <w:spacing w:after="20"/>
            </w:pPr>
            <w:r/>
            <w:r>
              <w:rPr>
                <w:rFonts w:ascii="Calibri" w:hAnsi="Calibri"/>
                <w:b w:val="0"/>
                <w:sz w:val="16"/>
              </w:rPr>
              <w:t>Improve ordering of already retrieved candidates</w:t>
            </w:r>
          </w:p>
        </w:tc>
        <w:tc>
          <w:tcPr>
            <w:tcW w:type="dxa" w:w="2541"/>
            <w:vAlign w:val="center"/>
          </w:tcPr>
          <w:p>
            <w:pPr>
              <w:spacing w:after="20"/>
            </w:pPr>
            <w:r/>
            <w:r>
              <w:rPr>
                <w:rFonts w:ascii="Calibri" w:hAnsi="Calibri"/>
                <w:b w:val="0"/>
                <w:sz w:val="16"/>
              </w:rPr>
              <w:t>Historical comparison: exact-answer-in-context 53/160 vs hybrid 63/160, with up to five chunks and max two/document. Context budget/metric not fully controlled. This configuration did not beat baseline.</w:t>
            </w:r>
          </w:p>
        </w:tc>
        <w:tc>
          <w:tcPr>
            <w:tcW w:type="dxa" w:w="2541"/>
            <w:vAlign w:val="center"/>
          </w:tcPr>
          <w:p>
            <w:pPr>
              <w:spacing w:after="20"/>
            </w:pPr>
            <w:r/>
            <w:r>
              <w:rPr>
                <w:rFonts w:ascii="Calibri" w:hAnsi="Calibri"/>
                <w:b w:val="0"/>
                <w:sz w:val="16"/>
              </w:rPr>
              <w:t>Do not claim rerankers generally fail. Do not keep this version as default without a fair retest.</w:t>
            </w:r>
          </w:p>
        </w:tc>
      </w:tr>
      <w:tr>
        <w:tc>
          <w:tcPr>
            <w:tcW w:type="dxa" w:w="2541"/>
            <w:vAlign w:val="center"/>
            <w:shd w:fill="EEF4F6"/>
          </w:tcPr>
          <w:p>
            <w:pPr>
              <w:spacing w:after="20"/>
            </w:pPr>
            <w:r/>
            <w:r>
              <w:rPr>
                <w:rFonts w:ascii="Calibri" w:hAnsi="Calibri"/>
                <w:b w:val="0"/>
                <w:sz w:val="16"/>
              </w:rPr>
              <w:t>bge-reranker-v2-m3 pilot</w:t>
            </w:r>
          </w:p>
        </w:tc>
        <w:tc>
          <w:tcPr>
            <w:tcW w:type="dxa" w:w="2541"/>
            <w:vAlign w:val="center"/>
            <w:shd w:fill="EEF4F6"/>
          </w:tcPr>
          <w:p>
            <w:pPr>
              <w:spacing w:after="20"/>
            </w:pPr>
            <w:r/>
            <w:r>
              <w:rPr>
                <w:rFonts w:ascii="Calibri" w:hAnsi="Calibri"/>
                <w:b w:val="0"/>
                <w:sz w:val="16"/>
              </w:rPr>
              <w:t>Test stronger technical reranking</w:t>
            </w:r>
          </w:p>
        </w:tc>
        <w:tc>
          <w:tcPr>
            <w:tcW w:type="dxa" w:w="2541"/>
            <w:vAlign w:val="center"/>
            <w:shd w:fill="EEF4F6"/>
          </w:tcPr>
          <w:p>
            <w:pPr>
              <w:spacing w:after="20"/>
            </w:pPr>
            <w:r/>
            <w:r>
              <w:rPr>
                <w:rFonts w:ascii="Calibri" w:hAnsi="Calibri"/>
                <w:b w:val="0"/>
                <w:sz w:val="16"/>
              </w:rPr>
              <w:t>Only 10 then 50-question pilots, scoring top 200 with max input 512 tokens; no stable full-dev result in repo.</w:t>
            </w:r>
          </w:p>
        </w:tc>
        <w:tc>
          <w:tcPr>
            <w:tcW w:type="dxa" w:w="2541"/>
            <w:vAlign w:val="center"/>
            <w:shd w:fill="EEF4F6"/>
          </w:tcPr>
          <w:p>
            <w:pPr>
              <w:spacing w:after="20"/>
            </w:pPr>
            <w:r/>
            <w:r>
              <w:rPr>
                <w:rFonts w:ascii="Calibri" w:hAnsi="Calibri"/>
                <w:b w:val="0"/>
                <w:sz w:val="16"/>
              </w:rPr>
              <w:t>INVESTIGATE only if later evidence justifies it; not a proven component.</w:t>
            </w:r>
          </w:p>
        </w:tc>
      </w:tr>
      <w:tr>
        <w:tc>
          <w:tcPr>
            <w:tcW w:type="dxa" w:w="2541"/>
            <w:vAlign w:val="center"/>
          </w:tcPr>
          <w:p>
            <w:pPr>
              <w:spacing w:after="20"/>
            </w:pPr>
            <w:r/>
            <w:r>
              <w:rPr>
                <w:rFonts w:ascii="Calibri" w:hAnsi="Calibri"/>
                <w:b w:val="0"/>
                <w:sz w:val="16"/>
              </w:rPr>
              <w:t>Fine-tuned reranker</w:t>
            </w:r>
          </w:p>
        </w:tc>
        <w:tc>
          <w:tcPr>
            <w:tcW w:type="dxa" w:w="2541"/>
            <w:vAlign w:val="center"/>
          </w:tcPr>
          <w:p>
            <w:pPr>
              <w:spacing w:after="20"/>
            </w:pPr>
            <w:r/>
            <w:r>
              <w:rPr>
                <w:rFonts w:ascii="Calibri" w:hAnsi="Calibri"/>
                <w:b w:val="0"/>
                <w:sz w:val="16"/>
              </w:rPr>
              <w:t>Adapt ranking to TechQA labels</w:t>
            </w:r>
          </w:p>
        </w:tc>
        <w:tc>
          <w:tcPr>
            <w:tcW w:type="dxa" w:w="2541"/>
            <w:vAlign w:val="center"/>
          </w:tcPr>
          <w:p>
            <w:pPr>
              <w:spacing w:after="20"/>
            </w:pPr>
            <w:r/>
            <w:r>
              <w:rPr>
                <w:rFonts w:ascii="Calibri" w:hAnsi="Calibri"/>
                <w:b w:val="0"/>
                <w:sz w:val="16"/>
              </w:rPr>
              <w:t>No reproducible training run, weights, or result artifact in this checkout; user-reported external run not verifiable here.</w:t>
            </w:r>
          </w:p>
        </w:tc>
        <w:tc>
          <w:tcPr>
            <w:tcW w:type="dxa" w:w="2541"/>
            <w:vAlign w:val="center"/>
          </w:tcPr>
          <w:p>
            <w:pPr>
              <w:spacing w:after="20"/>
            </w:pPr>
            <w:r/>
            <w:r>
              <w:rPr>
                <w:rFonts w:ascii="Calibri" w:hAnsi="Calibri"/>
                <w:b w:val="0"/>
                <w:sz w:val="16"/>
              </w:rPr>
              <w:t>NOT ESTABLISHED; do not cite as local reproducible result.</w:t>
            </w:r>
          </w:p>
        </w:tc>
      </w:tr>
      <w:tr>
        <w:tc>
          <w:tcPr>
            <w:tcW w:type="dxa" w:w="2541"/>
            <w:vAlign w:val="center"/>
            <w:shd w:fill="EEF4F6"/>
          </w:tcPr>
          <w:p>
            <w:pPr>
              <w:spacing w:after="20"/>
            </w:pPr>
            <w:r/>
            <w:r>
              <w:rPr>
                <w:rFonts w:ascii="Calibri" w:hAnsi="Calibri"/>
                <w:b w:val="0"/>
                <w:sz w:val="16"/>
              </w:rPr>
              <w:t>GraphRAG</w:t>
            </w:r>
          </w:p>
        </w:tc>
        <w:tc>
          <w:tcPr>
            <w:tcW w:type="dxa" w:w="2541"/>
            <w:vAlign w:val="center"/>
            <w:shd w:fill="EEF4F6"/>
          </w:tcPr>
          <w:p>
            <w:pPr>
              <w:spacing w:after="20"/>
            </w:pPr>
            <w:r/>
            <w:r>
              <w:rPr>
                <w:rFonts w:ascii="Calibri" w:hAnsi="Calibri"/>
                <w:b w:val="0"/>
                <w:sz w:val="16"/>
              </w:rPr>
              <w:t>Use note relationships for discovery/multi-hop questions</w:t>
            </w:r>
          </w:p>
        </w:tc>
        <w:tc>
          <w:tcPr>
            <w:tcW w:type="dxa" w:w="2541"/>
            <w:vAlign w:val="center"/>
            <w:shd w:fill="EEF4F6"/>
          </w:tcPr>
          <w:p>
            <w:pPr>
              <w:spacing w:after="20"/>
            </w:pPr>
            <w:r/>
            <w:r>
              <w:rPr>
                <w:rFonts w:ascii="Calibri" w:hAnsi="Calibri"/>
                <w:b w:val="0"/>
                <w:sz w:val="16"/>
              </w:rPr>
              <w:t>No graph implementation/result artifact found in checked repository; user-reported underperformance cannot be independently audited here.</w:t>
            </w:r>
          </w:p>
        </w:tc>
        <w:tc>
          <w:tcPr>
            <w:tcW w:type="dxa" w:w="2541"/>
            <w:vAlign w:val="center"/>
            <w:shd w:fill="EEF4F6"/>
          </w:tcPr>
          <w:p>
            <w:pPr>
              <w:spacing w:after="20"/>
            </w:pPr>
            <w:r/>
            <w:r>
              <w:rPr>
                <w:rFonts w:ascii="Calibri" w:hAnsi="Calibri"/>
                <w:b w:val="0"/>
                <w:sz w:val="16"/>
              </w:rPr>
              <w:t>Not needed for current single-note QA baseline; revisit only for demonstrable multi-note questions.</w:t>
            </w:r>
          </w:p>
        </w:tc>
      </w:tr>
      <w:tr>
        <w:tc>
          <w:tcPr>
            <w:tcW w:type="dxa" w:w="2541"/>
            <w:vAlign w:val="center"/>
          </w:tcPr>
          <w:p>
            <w:pPr>
              <w:spacing w:after="20"/>
            </w:pPr>
            <w:r/>
            <w:r>
              <w:rPr>
                <w:rFonts w:ascii="Calibri" w:hAnsi="Calibri"/>
                <w:b w:val="0"/>
                <w:sz w:val="16"/>
              </w:rPr>
              <w:t>Strict extractive prompt pilots</w:t>
            </w:r>
          </w:p>
        </w:tc>
        <w:tc>
          <w:tcPr>
            <w:tcW w:type="dxa" w:w="2541"/>
            <w:vAlign w:val="center"/>
          </w:tcPr>
          <w:p>
            <w:pPr>
              <w:spacing w:after="20"/>
            </w:pPr>
            <w:r/>
            <w:r>
              <w:rPr>
                <w:rFonts w:ascii="Calibri" w:hAnsi="Calibri"/>
                <w:b w:val="0"/>
                <w:sz w:val="16"/>
              </w:rPr>
              <w:t>Force exact source wording/offset mapping</w:t>
            </w:r>
          </w:p>
        </w:tc>
        <w:tc>
          <w:tcPr>
            <w:tcW w:type="dxa" w:w="2541"/>
            <w:vAlign w:val="center"/>
          </w:tcPr>
          <w:p>
            <w:pPr>
              <w:spacing w:after="20"/>
            </w:pPr>
            <w:r/>
            <w:r>
              <w:rPr>
                <w:rFonts w:ascii="Calibri" w:hAnsi="Calibri"/>
                <w:b w:val="0"/>
                <w:sz w:val="16"/>
              </w:rPr>
              <w:t>Small prompt pilots underperformed; free-form answers mapped to complete source spans in 0/160, an output-format diagnostic.</w:t>
            </w:r>
          </w:p>
        </w:tc>
        <w:tc>
          <w:tcPr>
            <w:tcW w:type="dxa" w:w="2541"/>
            <w:vAlign w:val="center"/>
          </w:tcPr>
          <w:p>
            <w:pPr>
              <w:spacing w:after="20"/>
            </w:pPr>
            <w:r/>
            <w:r>
              <w:rPr>
                <w:rFonts w:ascii="Calibri" w:hAnsi="Calibri"/>
                <w:b w:val="0"/>
                <w:sz w:val="16"/>
              </w:rPr>
              <w:t>Keep normal grounded-answer format; citations/quotes can be added as a separate product requirement.</w:t>
            </w:r>
          </w:p>
        </w:tc>
      </w:tr>
    </w:tbl>
    <w:p>
      <w:pPr>
        <w:spacing w:after="20"/>
      </w:pPr>
    </w:p>
    <w:p>
      <w:pPr>
        <w:pStyle w:val="Heading2"/>
      </w:pPr>
      <w:r>
        <w:t>Why the reranker result is not simply “wrong model”</w:t>
      </w:r>
    </w:p>
    <w:p>
      <w:r>
        <w:t>A cross-encoder reranker receives a question–passage pair and scores their relevance; it reorders candidates that retrieval already found. It does not recover a passage absent from the candidate pool, repair lost source text, or guarantee that “relevant” means “contains the exact answer.” The local historical result says this model/configuration plus its candidate/context policy did worse on that metric than the hybrid baseline. Possible contributors include label mismatch (relevance vs answer-bearing), candidate truncation, chunk construction, and evaluation/context-budget differences. The repo does not isolate which cause dominated; therefore it cannot justify “rerankers are bad” or “the model was definitely wrong.”</w:t>
      </w:r>
    </w:p>
    <w:p>
      <w:r>
        <w:br w:type="page"/>
      </w:r>
    </w:p>
    <w:p>
      <w:pPr>
        <w:pStyle w:val="Heading2"/>
      </w:pPr>
      <w:r>
        <w:t>Complexity audit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Calibri" w:hAnsi="Calibri"/>
                <w:b/>
                <w:color w:val="FFFFFF"/>
                <w:sz w:val="16"/>
              </w:rPr>
              <w:t>Component</w:t>
            </w:r>
          </w:p>
        </w:tc>
        <w:tc>
          <w:tcPr>
            <w:tcW w:type="dxa" w:w="3389"/>
            <w:vAlign w:val="center"/>
            <w:shd w:fill="12304A"/>
          </w:tcPr>
          <w:p>
            <w:pPr>
              <w:spacing w:after="20"/>
            </w:pPr>
            <w:r/>
            <w:r>
              <w:rPr>
                <w:rFonts w:ascii="Calibri" w:hAnsi="Calibri"/>
                <w:b/>
                <w:color w:val="FFFFFF"/>
                <w:sz w:val="16"/>
              </w:rPr>
              <w:t>Action</w:t>
            </w:r>
          </w:p>
        </w:tc>
        <w:tc>
          <w:tcPr>
            <w:tcW w:type="dxa" w:w="3389"/>
            <w:vAlign w:val="center"/>
            <w:shd w:fill="12304A"/>
          </w:tcPr>
          <w:p>
            <w:pPr>
              <w:spacing w:after="20"/>
            </w:pPr>
            <w:r/>
            <w:r>
              <w:rPr>
                <w:rFonts w:ascii="Calibri" w:hAnsi="Calibri"/>
                <w:b/>
                <w:color w:val="FFFFFF"/>
                <w:sz w:val="16"/>
              </w:rPr>
              <w:t>Reason</w:t>
            </w:r>
          </w:p>
        </w:tc>
      </w:tr>
      <w:tr>
        <w:tc>
          <w:tcPr>
            <w:tcW w:type="dxa" w:w="3389"/>
            <w:vAlign w:val="center"/>
          </w:tcPr>
          <w:p>
            <w:pPr>
              <w:spacing w:after="20"/>
            </w:pPr>
            <w:r/>
            <w:r>
              <w:rPr>
                <w:rFonts w:ascii="Calibri" w:hAnsi="Calibri"/>
                <w:b w:val="0"/>
                <w:sz w:val="15"/>
              </w:rPr>
              <w:t>Stable IDs, offsets, provenance</w:t>
            </w:r>
          </w:p>
        </w:tc>
        <w:tc>
          <w:tcPr>
            <w:tcW w:type="dxa" w:w="3389"/>
            <w:vAlign w:val="center"/>
          </w:tcPr>
          <w:p>
            <w:pPr>
              <w:spacing w:after="20"/>
            </w:pPr>
            <w:r/>
            <w:r>
              <w:rPr>
                <w:rFonts w:ascii="Calibri" w:hAnsi="Calibri"/>
                <w:b w:val="0"/>
                <w:sz w:val="15"/>
              </w:rPr>
              <w:t>Retain</w:t>
            </w:r>
          </w:p>
        </w:tc>
        <w:tc>
          <w:tcPr>
            <w:tcW w:type="dxa" w:w="3389"/>
            <w:vAlign w:val="center"/>
          </w:tcPr>
          <w:p>
            <w:pPr>
              <w:spacing w:after="20"/>
            </w:pPr>
            <w:r/>
            <w:r>
              <w:rPr>
                <w:rFonts w:ascii="Calibri" w:hAnsi="Calibri"/>
                <w:b w:val="0"/>
                <w:sz w:val="15"/>
              </w:rPr>
              <w:t>Make evidence traceable and enable span-level measurement.</w:t>
            </w:r>
          </w:p>
        </w:tc>
      </w:tr>
      <w:tr>
        <w:tc>
          <w:tcPr>
            <w:tcW w:type="dxa" w:w="3389"/>
            <w:vAlign w:val="center"/>
            <w:shd w:fill="EEF4F6"/>
          </w:tcPr>
          <w:p>
            <w:pPr>
              <w:spacing w:after="20"/>
            </w:pPr>
            <w:r/>
            <w:r>
              <w:rPr>
                <w:rFonts w:ascii="Calibri" w:hAnsi="Calibri"/>
                <w:b w:val="0"/>
                <w:sz w:val="15"/>
              </w:rPr>
              <w:t>Hybrid full-corpus candidate retrieval</w:t>
            </w:r>
          </w:p>
        </w:tc>
        <w:tc>
          <w:tcPr>
            <w:tcW w:type="dxa" w:w="3389"/>
            <w:vAlign w:val="center"/>
            <w:shd w:fill="EEF4F6"/>
          </w:tcPr>
          <w:p>
            <w:pPr>
              <w:spacing w:after="20"/>
            </w:pPr>
            <w:r/>
            <w:r>
              <w:rPr>
                <w:rFonts w:ascii="Calibri" w:hAnsi="Calibri"/>
                <w:b w:val="0"/>
                <w:sz w:val="15"/>
              </w:rPr>
              <w:t>Retain</w:t>
            </w:r>
          </w:p>
        </w:tc>
        <w:tc>
          <w:tcPr>
            <w:tcW w:type="dxa" w:w="3389"/>
            <w:vAlign w:val="center"/>
            <w:shd w:fill="EEF4F6"/>
          </w:tcPr>
          <w:p>
            <w:pPr>
              <w:spacing w:after="20"/>
            </w:pPr>
            <w:r/>
            <w:r>
              <w:rPr>
                <w:rFonts w:ascii="Calibri" w:hAnsi="Calibri"/>
                <w:b w:val="0"/>
                <w:sz w:val="15"/>
              </w:rPr>
              <w:t>Strong broad recall baseline, though 27/160 gold notes remain absent.</w:t>
            </w:r>
          </w:p>
        </w:tc>
      </w:tr>
      <w:tr>
        <w:tc>
          <w:tcPr>
            <w:tcW w:type="dxa" w:w="3389"/>
            <w:vAlign w:val="center"/>
          </w:tcPr>
          <w:p>
            <w:pPr>
              <w:spacing w:after="20"/>
            </w:pPr>
            <w:r/>
            <w:r>
              <w:rPr>
                <w:rFonts w:ascii="Calibri" w:hAnsi="Calibri"/>
                <w:b w:val="0"/>
                <w:sz w:val="15"/>
              </w:rPr>
              <w:t>One dependable passage ranker + explicit context budget</w:t>
            </w:r>
          </w:p>
        </w:tc>
        <w:tc>
          <w:tcPr>
            <w:tcW w:type="dxa" w:w="3389"/>
            <w:vAlign w:val="center"/>
          </w:tcPr>
          <w:p>
            <w:pPr>
              <w:spacing w:after="20"/>
            </w:pPr>
            <w:r/>
            <w:r>
              <w:rPr>
                <w:rFonts w:ascii="Calibri" w:hAnsi="Calibri"/>
                <w:b w:val="0"/>
                <w:sz w:val="15"/>
              </w:rPr>
              <w:t>Simplify / make reproducible</w:t>
            </w:r>
          </w:p>
        </w:tc>
        <w:tc>
          <w:tcPr>
            <w:tcW w:type="dxa" w:w="3389"/>
            <w:vAlign w:val="center"/>
          </w:tcPr>
          <w:p>
            <w:pPr>
              <w:spacing w:after="20"/>
            </w:pPr>
            <w:r/>
            <w:r>
              <w:rPr>
                <w:rFonts w:ascii="Calibri" w:hAnsi="Calibri"/>
                <w:b w:val="0"/>
                <w:sz w:val="15"/>
              </w:rPr>
              <w:t>Avoid stacking unvalidated rankers. Current tested BM25 is the practical baseline.</w:t>
            </w:r>
          </w:p>
        </w:tc>
      </w:tr>
      <w:tr>
        <w:tc>
          <w:tcPr>
            <w:tcW w:type="dxa" w:w="3389"/>
            <w:vAlign w:val="center"/>
            <w:shd w:fill="EEF4F6"/>
          </w:tcPr>
          <w:p>
            <w:pPr>
              <w:spacing w:after="20"/>
            </w:pPr>
            <w:r/>
            <w:r>
              <w:rPr>
                <w:rFonts w:ascii="Calibri" w:hAnsi="Calibri"/>
                <w:b w:val="0"/>
                <w:sz w:val="15"/>
              </w:rPr>
              <w:t>Neighbor expansion</w:t>
            </w:r>
          </w:p>
        </w:tc>
        <w:tc>
          <w:tcPr>
            <w:tcW w:type="dxa" w:w="3389"/>
            <w:vAlign w:val="center"/>
            <w:shd w:fill="EEF4F6"/>
          </w:tcPr>
          <w:p>
            <w:pPr>
              <w:spacing w:after="20"/>
            </w:pPr>
            <w:r/>
            <w:r>
              <w:rPr>
                <w:rFonts w:ascii="Calibri" w:hAnsi="Calibri"/>
                <w:b w:val="0"/>
                <w:sz w:val="15"/>
              </w:rPr>
              <w:t>Retain as an ablation</w:t>
            </w:r>
          </w:p>
        </w:tc>
        <w:tc>
          <w:tcPr>
            <w:tcW w:type="dxa" w:w="3389"/>
            <w:vAlign w:val="center"/>
            <w:shd w:fill="EEF4F6"/>
          </w:tcPr>
          <w:p>
            <w:pPr>
              <w:spacing w:after="20"/>
            </w:pPr>
            <w:r/>
            <w:r>
              <w:rPr>
                <w:rFonts w:ascii="Calibri" w:hAnsi="Calibri"/>
                <w:b w:val="0"/>
                <w:sz w:val="15"/>
              </w:rPr>
              <w:t>Measured gain, meaningful token cost; choose using budget/quality trade-off.</w:t>
            </w:r>
          </w:p>
        </w:tc>
      </w:tr>
      <w:tr>
        <w:tc>
          <w:tcPr>
            <w:tcW w:type="dxa" w:w="3389"/>
            <w:vAlign w:val="center"/>
          </w:tcPr>
          <w:p>
            <w:pPr>
              <w:spacing w:after="20"/>
            </w:pPr>
            <w:r/>
            <w:r>
              <w:rPr>
                <w:rFonts w:ascii="Calibri" w:hAnsi="Calibri"/>
                <w:b w:val="0"/>
                <w:sz w:val="15"/>
              </w:rPr>
              <w:t>Multiple uncalibrated rerankers / graph layers</w:t>
            </w:r>
          </w:p>
        </w:tc>
        <w:tc>
          <w:tcPr>
            <w:tcW w:type="dxa" w:w="3389"/>
            <w:vAlign w:val="center"/>
          </w:tcPr>
          <w:p>
            <w:pPr>
              <w:spacing w:after="20"/>
            </w:pPr>
            <w:r/>
            <w:r>
              <w:rPr>
                <w:rFonts w:ascii="Calibri" w:hAnsi="Calibri"/>
                <w:b w:val="0"/>
                <w:sz w:val="15"/>
              </w:rPr>
              <w:t>Remove from default path or mark experimental</w:t>
            </w:r>
          </w:p>
        </w:tc>
        <w:tc>
          <w:tcPr>
            <w:tcW w:type="dxa" w:w="3389"/>
            <w:vAlign w:val="center"/>
          </w:tcPr>
          <w:p>
            <w:pPr>
              <w:spacing w:after="20"/>
            </w:pPr>
            <w:r/>
            <w:r>
              <w:rPr>
                <w:rFonts w:ascii="Calibri" w:hAnsi="Calibri"/>
                <w:b w:val="0"/>
                <w:sz w:val="15"/>
              </w:rPr>
              <w:t>No controlled, reproducible improvement shown locally.</w:t>
            </w:r>
          </w:p>
        </w:tc>
      </w:tr>
      <w:tr>
        <w:tc>
          <w:tcPr>
            <w:tcW w:type="dxa" w:w="3389"/>
            <w:vAlign w:val="center"/>
            <w:shd w:fill="EEF4F6"/>
          </w:tcPr>
          <w:p>
            <w:pPr>
              <w:spacing w:after="20"/>
            </w:pPr>
            <w:r/>
            <w:r>
              <w:rPr>
                <w:rFonts w:ascii="Calibri" w:hAnsi="Calibri"/>
                <w:b w:val="0"/>
                <w:sz w:val="15"/>
              </w:rPr>
              <w:t>Many overlapping metrics collapsed into “accuracy”</w:t>
            </w:r>
          </w:p>
        </w:tc>
        <w:tc>
          <w:tcPr>
            <w:tcW w:type="dxa" w:w="3389"/>
            <w:vAlign w:val="center"/>
            <w:shd w:fill="EEF4F6"/>
          </w:tcPr>
          <w:p>
            <w:pPr>
              <w:spacing w:after="20"/>
            </w:pPr>
            <w:r/>
            <w:r>
              <w:rPr>
                <w:rFonts w:ascii="Calibri" w:hAnsi="Calibri"/>
                <w:b w:val="0"/>
                <w:sz w:val="15"/>
              </w:rPr>
              <w:t>Avoid</w:t>
            </w:r>
          </w:p>
        </w:tc>
        <w:tc>
          <w:tcPr>
            <w:tcW w:type="dxa" w:w="3389"/>
            <w:vAlign w:val="center"/>
            <w:shd w:fill="EEF4F6"/>
          </w:tcPr>
          <w:p>
            <w:pPr>
              <w:spacing w:after="20"/>
            </w:pPr>
            <w:r/>
            <w:r>
              <w:rPr>
                <w:rFonts w:ascii="Calibri" w:hAnsi="Calibri"/>
                <w:b w:val="0"/>
                <w:sz w:val="15"/>
              </w:rPr>
              <w:t>Report metric families and denominators separately.</w:t>
            </w:r>
          </w:p>
        </w:tc>
      </w:tr>
    </w:tbl>
    <w:p>
      <w:pPr>
        <w:spacing w:after="20"/>
      </w:pPr>
    </w:p>
    <w:p>
      <w:r>
        <w:br w:type="page"/>
      </w:r>
    </w:p>
    <w:p>
      <w:pPr>
        <w:pStyle w:val="Heading1"/>
      </w:pPr>
      <w:r>
        <w:t>7. Evaluation reliability and limitations</w:t>
      </w:r>
    </w:p>
    <w:p>
      <w:pPr>
        <w:pStyle w:val="Heading2"/>
      </w:pPr>
      <w:r>
        <w:t>What was done well</w:t>
      </w:r>
    </w:p>
    <w:p>
      <w:pPr>
        <w:pStyle w:val="ListBullet"/>
      </w:pPr>
      <w:r>
        <w:t>Stable question IDs are used to pair conditions and match answers to references; 158 non-empty references are the denominator for answer-overlap metrics.</w:t>
      </w:r>
    </w:p>
    <w:p>
      <w:pPr>
        <w:pStyle w:val="ListBullet"/>
      </w:pPr>
      <w:r>
        <w:t>Plain and expanded contexts were evaluated on the same questions and generator settings, so paired comparisons are more informative than comparing unrelated runs.</w:t>
      </w:r>
    </w:p>
    <w:p>
      <w:pPr>
        <w:pStyle w:val="ListBullet"/>
      </w:pPr>
      <w:r>
        <w:t>BERTScore used the same `roberta-large`, English setting, 17 layers, no IDF weighting, and no baseline rescaling for both conditions; two empty-reference records were explicitly excluded.</w:t>
      </w:r>
    </w:p>
    <w:p>
      <w:pPr>
        <w:pStyle w:val="ListBullet"/>
      </w:pPr>
      <w:r>
        <w:t>Paired bootstrap intervals were calculated for ROUGE-L/BERTScore deltas; factuality support-rate intervals were also reported for paired cases. This helps distinguish a direction from certainty.</w:t>
      </w:r>
    </w:p>
    <w:p>
      <w:pPr>
        <w:pStyle w:val="ListBullet"/>
      </w:pPr>
      <w:r>
        <w:t>Evidence quotes from the factuality judge were validated against the exact condition context, and invalid quotes were not accepted as evidence.</w:t>
      </w:r>
    </w:p>
    <w:p>
      <w:pPr>
        <w:pStyle w:val="Heading2"/>
      </w:pPr>
      <w:r>
        <w:t>What to keep in mind</w:t>
      </w:r>
    </w:p>
    <w:p>
      <w:pPr>
        <w:pStyle w:val="ListBullet"/>
      </w:pPr>
      <w:r>
        <w:t>Only one fixed development set is measured. Repeated experimentation on it can overfit decisions to these questions; final claims should be framed as dev-set findings.</w:t>
      </w:r>
    </w:p>
    <w:p>
      <w:pPr>
        <w:pStyle w:val="ListBullet"/>
      </w:pPr>
      <w:r>
        <w:t>The two empty references and seven normalized source-reference mismatches complicate answer-string metrics. Offset span coverage is a useful complementary signal, not a replacement for human correctness review.</w:t>
      </w:r>
    </w:p>
    <w:p>
      <w:pPr>
        <w:pStyle w:val="ListBullet"/>
      </w:pPr>
      <w:r>
        <w:t>BERTScore similarity is not factuality. Claim-support rate is not whole-answer correctness. LLM judges can be inconsistent and inherit model biases.</w:t>
      </w:r>
    </w:p>
    <w:p>
      <w:pPr>
        <w:pStyle w:val="ListBullet"/>
      </w:pPr>
      <w:r>
        <w:t>Gemini’s judge evaluated Gemini-generated answers as well as Qwen answers. The manual pilot is GPT-reviewed, only ten purposively mixed questions, and cannot establish a population rate.</w:t>
      </w:r>
    </w:p>
    <w:p>
      <w:pPr>
        <w:pStyle w:val="ListBullet"/>
      </w:pPr>
      <w:r>
        <w:t>Expanded contexts are longer. Accuracy-like metrics should be considered with prompt tokens, latency and API cost; larger context is not free.</w:t>
      </w:r>
    </w:p>
    <w:p>
      <w:pPr>
        <w:pStyle w:val="ListBullet"/>
      </w:pPr>
      <w:r>
        <w:t>No confidence interval or significance test turns these measures into universal model quality. Statistical intervals here describe paired dev-set differences under the chosen resampling scheme.</w:t>
      </w:r>
    </w:p>
    <w:p>
      <w:pPr>
        <w:pStyle w:val="Heading2"/>
      </w:pPr>
      <w:r>
        <w:t>Suggested honest project conclusion</w:t>
      </w:r>
    </w:p>
    <w:tbl>
      <w:tblPr>
        <w:tblStyle w:val="TableGrid"/>
        <w:tblW w:type="auto" w:w="0"/>
        <w:tblLook w:firstColumn="1" w:firstRow="1" w:lastColumn="0" w:lastRow="0" w:noHBand="0" w:noVBand="1" w:val="04A0"/>
      </w:tblPr>
      <w:tblGrid>
        <w:gridCol w:w="10166"/>
      </w:tblGrid>
      <w:tr>
        <w:tc>
          <w:tcPr>
            <w:tcW w:type="dxa" w:w="10166"/>
            <w:shd w:fill="E6F3F3"/>
          </w:tcPr>
          <w:p>
            <w:pPr>
              <w:spacing w:after="60"/>
            </w:pPr>
            <w:r/>
            <w:r>
              <w:rPr>
                <w:b/>
                <w:color w:val="087E8B"/>
              </w:rPr>
              <w:t xml:space="preserve">Interview-safe summary  </w:t>
            </w:r>
            <w:r>
              <w:t>“I built and evaluated a retrieval-augmented QA pipeline on 28,482 IBM support notes. Hybrid retrieval put the designated gold note in the top 20 for 83.1% of 160 answerable dev questions. I then separated passage/context selection from document recall: adjacent evidence expansion increased answer-span coverage from 47 to 75 questions and improved paired reference-similarity metrics for both Qwen2.5-1.5B and Gemini Flash Lite, while raising average prompt size by about 70%. I added source-alignment, BERTScore, evidence-quote validation, and failure attribution, and identified context selection and distractor handling as key remaining challenges. These are development-set results, not a claim of 83.1% answer accuracy.”</w:t>
            </w:r>
          </w:p>
        </w:tc>
      </w:tr>
    </w:tbl>
    <w:p>
      <w:pPr>
        <w:spacing w:after="20"/>
      </w:pPr>
    </w:p>
    <w:p>
      <w:r>
        <w:br w:type="page"/>
      </w:r>
    </w:p>
    <w:p>
      <w:pPr>
        <w:pStyle w:val="Heading1"/>
      </w:pPr>
      <w:r>
        <w:t>8. Recommended simple architecture (current stopping point)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Calibri" w:hAnsi="Calibri"/>
                <w:b/>
                <w:color w:val="FFFFFF"/>
                <w:sz w:val="16"/>
              </w:rPr>
              <w:t>Layer</w:t>
            </w:r>
          </w:p>
        </w:tc>
        <w:tc>
          <w:tcPr>
            <w:tcW w:type="dxa" w:w="3389"/>
            <w:vAlign w:val="center"/>
            <w:shd w:fill="12304A"/>
          </w:tcPr>
          <w:p>
            <w:pPr>
              <w:spacing w:after="20"/>
            </w:pPr>
            <w:r/>
            <w:r>
              <w:rPr>
                <w:rFonts w:ascii="Calibri" w:hAnsi="Calibri"/>
                <w:b/>
                <w:color w:val="FFFFFF"/>
                <w:sz w:val="16"/>
              </w:rPr>
              <w:t>Keep in the learning baseline</w:t>
            </w:r>
          </w:p>
        </w:tc>
        <w:tc>
          <w:tcPr>
            <w:tcW w:type="dxa" w:w="3389"/>
            <w:vAlign w:val="center"/>
            <w:shd w:fill="12304A"/>
          </w:tcPr>
          <w:p>
            <w:pPr>
              <w:spacing w:after="20"/>
            </w:pPr>
            <w:r/>
            <w:r>
              <w:rPr>
                <w:rFonts w:ascii="Calibri" w:hAnsi="Calibri"/>
                <w:b/>
                <w:color w:val="FFFFFF"/>
                <w:sz w:val="16"/>
              </w:rPr>
              <w:t>Why</w:t>
            </w:r>
          </w:p>
        </w:tc>
      </w:tr>
      <w:tr>
        <w:tc>
          <w:tcPr>
            <w:tcW w:type="dxa" w:w="3389"/>
            <w:vAlign w:val="center"/>
          </w:tcPr>
          <w:p>
            <w:pPr>
              <w:spacing w:after="20"/>
            </w:pPr>
            <w:r/>
            <w:r>
              <w:rPr>
                <w:rFonts w:ascii="Calibri" w:hAnsi="Calibri"/>
                <w:b w:val="0"/>
                <w:sz w:val="16"/>
              </w:rPr>
              <w:t>Corpus</w:t>
            </w:r>
          </w:p>
        </w:tc>
        <w:tc>
          <w:tcPr>
            <w:tcW w:type="dxa" w:w="3389"/>
            <w:vAlign w:val="center"/>
          </w:tcPr>
          <w:p>
            <w:pPr>
              <w:spacing w:after="20"/>
            </w:pPr>
            <w:r/>
            <w:r>
              <w:rPr>
                <w:rFonts w:ascii="Calibri" w:hAnsi="Calibri"/>
                <w:b w:val="0"/>
                <w:sz w:val="16"/>
              </w:rPr>
              <w:t>One canonical normalized text field tied to TechQA `text`, with title, ID, source metadata and offsets.</w:t>
            </w:r>
          </w:p>
        </w:tc>
        <w:tc>
          <w:tcPr>
            <w:tcW w:type="dxa" w:w="3389"/>
            <w:vAlign w:val="center"/>
          </w:tcPr>
          <w:p>
            <w:pPr>
              <w:spacing w:after="20"/>
            </w:pPr>
            <w:r/>
            <w:r>
              <w:rPr>
                <w:rFonts w:ascii="Calibri" w:hAnsi="Calibri"/>
                <w:b w:val="0"/>
                <w:sz w:val="16"/>
              </w:rPr>
              <w:t>Text/offset source consistency; reproducible provenance.</w:t>
            </w:r>
          </w:p>
        </w:tc>
      </w:tr>
      <w:tr>
        <w:tc>
          <w:tcPr>
            <w:tcW w:type="dxa" w:w="3389"/>
            <w:vAlign w:val="center"/>
            <w:shd w:fill="EEF4F6"/>
          </w:tcPr>
          <w:p>
            <w:pPr>
              <w:spacing w:after="20"/>
            </w:pPr>
            <w:r/>
            <w:r>
              <w:rPr>
                <w:rFonts w:ascii="Calibri" w:hAnsi="Calibri"/>
                <w:b w:val="0"/>
                <w:sz w:val="16"/>
              </w:rPr>
              <w:t>Chunking</w:t>
            </w:r>
          </w:p>
        </w:tc>
        <w:tc>
          <w:tcPr>
            <w:tcW w:type="dxa" w:w="3389"/>
            <w:vAlign w:val="center"/>
            <w:shd w:fill="EEF4F6"/>
          </w:tcPr>
          <w:p>
            <w:pPr>
              <w:spacing w:after="20"/>
            </w:pPr>
            <w:r/>
            <w:r>
              <w:rPr>
                <w:rFonts w:ascii="Calibri" w:hAnsi="Calibri"/>
                <w:b w:val="0"/>
                <w:sz w:val="16"/>
              </w:rPr>
              <w:t>V2 source-aligned chunks and stable global IDs; preserve headings as metadata/content.</w:t>
            </w:r>
          </w:p>
        </w:tc>
        <w:tc>
          <w:tcPr>
            <w:tcW w:type="dxa" w:w="3389"/>
            <w:vAlign w:val="center"/>
            <w:shd w:fill="EEF4F6"/>
          </w:tcPr>
          <w:p>
            <w:pPr>
              <w:spacing w:after="20"/>
            </w:pPr>
            <w:r/>
            <w:r>
              <w:rPr>
                <w:rFonts w:ascii="Calibri" w:hAnsi="Calibri"/>
                <w:b w:val="0"/>
                <w:sz w:val="16"/>
              </w:rPr>
              <w:t>Span audits and passage traceability work. Avoid relying on section-local chunk index to order chunks.</w:t>
            </w:r>
          </w:p>
        </w:tc>
      </w:tr>
      <w:tr>
        <w:tc>
          <w:tcPr>
            <w:tcW w:type="dxa" w:w="3389"/>
            <w:vAlign w:val="center"/>
          </w:tcPr>
          <w:p>
            <w:pPr>
              <w:spacing w:after="20"/>
            </w:pPr>
            <w:r/>
            <w:r>
              <w:rPr>
                <w:rFonts w:ascii="Calibri" w:hAnsi="Calibri"/>
                <w:b w:val="0"/>
                <w:sz w:val="16"/>
              </w:rPr>
              <w:t>Candidate retrieval</w:t>
            </w:r>
          </w:p>
        </w:tc>
        <w:tc>
          <w:tcPr>
            <w:tcW w:type="dxa" w:w="3389"/>
            <w:vAlign w:val="center"/>
          </w:tcPr>
          <w:p>
            <w:pPr>
              <w:spacing w:after="20"/>
            </w:pPr>
            <w:r/>
            <w:r>
              <w:rPr>
                <w:rFonts w:ascii="Calibri" w:hAnsi="Calibri"/>
                <w:b w:val="0"/>
                <w:sz w:val="16"/>
              </w:rPr>
              <w:t>Hybrid semantic + lexical/title retrieval with fixed documented fusion and candidate count.</w:t>
            </w:r>
          </w:p>
        </w:tc>
        <w:tc>
          <w:tcPr>
            <w:tcW w:type="dxa" w:w="3389"/>
            <w:vAlign w:val="center"/>
          </w:tcPr>
          <w:p>
            <w:pPr>
              <w:spacing w:after="20"/>
            </w:pPr>
            <w:r/>
            <w:r>
              <w:rPr>
                <w:rFonts w:ascii="Calibri" w:hAnsi="Calibri"/>
                <w:b w:val="0"/>
                <w:sz w:val="16"/>
              </w:rPr>
              <w:t>Balances paraphrase retrieval and exact IBM terminology. Full-corpus retrieval remains necessary for unseen questions.</w:t>
            </w:r>
          </w:p>
        </w:tc>
      </w:tr>
      <w:tr>
        <w:tc>
          <w:tcPr>
            <w:tcW w:type="dxa" w:w="3389"/>
            <w:vAlign w:val="center"/>
            <w:shd w:fill="EEF4F6"/>
          </w:tcPr>
          <w:p>
            <w:pPr>
              <w:spacing w:after="20"/>
            </w:pPr>
            <w:r/>
            <w:r>
              <w:rPr>
                <w:rFonts w:ascii="Calibri" w:hAnsi="Calibri"/>
                <w:b w:val="0"/>
                <w:sz w:val="16"/>
              </w:rPr>
              <w:t>Passage ranking</w:t>
            </w:r>
          </w:p>
        </w:tc>
        <w:tc>
          <w:tcPr>
            <w:tcW w:type="dxa" w:w="3389"/>
            <w:vAlign w:val="center"/>
            <w:shd w:fill="EEF4F6"/>
          </w:tcPr>
          <w:p>
            <w:pPr>
              <w:spacing w:after="20"/>
            </w:pPr>
            <w:r/>
            <w:r>
              <w:rPr>
                <w:rFonts w:ascii="Calibri" w:hAnsi="Calibri"/>
                <w:b w:val="0"/>
                <w:sz w:val="16"/>
              </w:rPr>
              <w:t>BM25 within retrieved candidate documents as the established baseline.</w:t>
            </w:r>
          </w:p>
        </w:tc>
        <w:tc>
          <w:tcPr>
            <w:tcW w:type="dxa" w:w="3389"/>
            <w:vAlign w:val="center"/>
            <w:shd w:fill="EEF4F6"/>
          </w:tcPr>
          <w:p>
            <w:pPr>
              <w:spacing w:after="20"/>
            </w:pPr>
            <w:r/>
            <w:r>
              <w:rPr>
                <w:rFonts w:ascii="Calibri" w:hAnsi="Calibri"/>
                <w:b w:val="0"/>
                <w:sz w:val="16"/>
              </w:rPr>
              <w:t>It performed better than BGE-only in the completed controlled comparison.</w:t>
            </w:r>
          </w:p>
        </w:tc>
      </w:tr>
      <w:tr>
        <w:tc>
          <w:tcPr>
            <w:tcW w:type="dxa" w:w="3389"/>
            <w:vAlign w:val="center"/>
          </w:tcPr>
          <w:p>
            <w:pPr>
              <w:spacing w:after="20"/>
            </w:pPr>
            <w:r/>
            <w:r>
              <w:rPr>
                <w:rFonts w:ascii="Calibri" w:hAnsi="Calibri"/>
                <w:b w:val="0"/>
                <w:sz w:val="16"/>
              </w:rPr>
              <w:t>Context assembly</w:t>
            </w:r>
          </w:p>
        </w:tc>
        <w:tc>
          <w:tcPr>
            <w:tcW w:type="dxa" w:w="3389"/>
            <w:vAlign w:val="center"/>
          </w:tcPr>
          <w:p>
            <w:pPr>
              <w:spacing w:after="20"/>
            </w:pPr>
            <w:r/>
            <w:r>
              <w:rPr>
                <w:rFonts w:ascii="Calibri" w:hAnsi="Calibri"/>
                <w:b w:val="0"/>
                <w:sz w:val="16"/>
              </w:rPr>
              <w:t>Top evidence under a declared token budget; optional adjacent expansion as an explicit condition.</w:t>
            </w:r>
          </w:p>
        </w:tc>
        <w:tc>
          <w:tcPr>
            <w:tcW w:type="dxa" w:w="3389"/>
            <w:vAlign w:val="center"/>
          </w:tcPr>
          <w:p>
            <w:pPr>
              <w:spacing w:after="20"/>
            </w:pPr>
            <w:r/>
            <w:r>
              <w:rPr>
                <w:rFonts w:ascii="Calibri" w:hAnsi="Calibri"/>
                <w:b w:val="0"/>
                <w:sz w:val="16"/>
              </w:rPr>
              <w:t>Its gains and extra token cost are measured.</w:t>
            </w:r>
          </w:p>
        </w:tc>
      </w:tr>
      <w:tr>
        <w:tc>
          <w:tcPr>
            <w:tcW w:type="dxa" w:w="3389"/>
            <w:vAlign w:val="center"/>
            <w:shd w:fill="EEF4F6"/>
          </w:tcPr>
          <w:p>
            <w:pPr>
              <w:spacing w:after="20"/>
            </w:pPr>
            <w:r/>
            <w:r>
              <w:rPr>
                <w:rFonts w:ascii="Calibri" w:hAnsi="Calibri"/>
                <w:b w:val="0"/>
                <w:sz w:val="16"/>
              </w:rPr>
              <w:t>Generation</w:t>
            </w:r>
          </w:p>
        </w:tc>
        <w:tc>
          <w:tcPr>
            <w:tcW w:type="dxa" w:w="3389"/>
            <w:vAlign w:val="center"/>
            <w:shd w:fill="EEF4F6"/>
          </w:tcPr>
          <w:p>
            <w:pPr>
              <w:spacing w:after="20"/>
            </w:pPr>
            <w:r/>
            <w:r>
              <w:rPr>
                <w:rFonts w:ascii="Calibri" w:hAnsi="Calibri"/>
                <w:b w:val="0"/>
                <w:sz w:val="16"/>
              </w:rPr>
              <w:t>One chosen generator, fixed prompt/decoding settings, answer only from context, abstain if evidence is insufficient.</w:t>
            </w:r>
          </w:p>
        </w:tc>
        <w:tc>
          <w:tcPr>
            <w:tcW w:type="dxa" w:w="3389"/>
            <w:vAlign w:val="center"/>
            <w:shd w:fill="EEF4F6"/>
          </w:tcPr>
          <w:p>
            <w:pPr>
              <w:spacing w:after="20"/>
            </w:pPr>
            <w:r/>
            <w:r>
              <w:rPr>
                <w:rFonts w:ascii="Calibri" w:hAnsi="Calibri"/>
                <w:b w:val="0"/>
                <w:sz w:val="16"/>
              </w:rPr>
              <w:t>Keep comparisons interpretable and responses grounded.</w:t>
            </w:r>
          </w:p>
        </w:tc>
      </w:tr>
      <w:tr>
        <w:tc>
          <w:tcPr>
            <w:tcW w:type="dxa" w:w="3389"/>
            <w:vAlign w:val="center"/>
          </w:tcPr>
          <w:p>
            <w:pPr>
              <w:spacing w:after="20"/>
            </w:pPr>
            <w:r/>
            <w:r>
              <w:rPr>
                <w:rFonts w:ascii="Calibri" w:hAnsi="Calibri"/>
                <w:b w:val="0"/>
                <w:sz w:val="16"/>
              </w:rPr>
              <w:t>Output trace</w:t>
            </w:r>
          </w:p>
        </w:tc>
        <w:tc>
          <w:tcPr>
            <w:tcW w:type="dxa" w:w="3389"/>
            <w:vAlign w:val="center"/>
          </w:tcPr>
          <w:p>
            <w:pPr>
              <w:spacing w:after="20"/>
            </w:pPr>
            <w:r/>
            <w:r>
              <w:rPr>
                <w:rFonts w:ascii="Calibri" w:hAnsi="Calibri"/>
                <w:b w:val="0"/>
                <w:sz w:val="16"/>
              </w:rPr>
              <w:t>Record source document ID and chunk IDs; optionally quote the evidence used.</w:t>
            </w:r>
          </w:p>
        </w:tc>
        <w:tc>
          <w:tcPr>
            <w:tcW w:type="dxa" w:w="3389"/>
            <w:vAlign w:val="center"/>
          </w:tcPr>
          <w:p>
            <w:pPr>
              <w:spacing w:after="20"/>
            </w:pPr>
            <w:r/>
            <w:r>
              <w:rPr>
                <w:rFonts w:ascii="Calibri" w:hAnsi="Calibri"/>
                <w:b w:val="0"/>
                <w:sz w:val="16"/>
              </w:rPr>
              <w:t>Improves explainability and supports deterministic validation.</w:t>
            </w:r>
          </w:p>
        </w:tc>
      </w:tr>
      <w:tr>
        <w:tc>
          <w:tcPr>
            <w:tcW w:type="dxa" w:w="3389"/>
            <w:vAlign w:val="center"/>
            <w:shd w:fill="EEF4F6"/>
          </w:tcPr>
          <w:p>
            <w:pPr>
              <w:spacing w:after="20"/>
            </w:pPr>
            <w:r/>
            <w:r>
              <w:rPr>
                <w:rFonts w:ascii="Calibri" w:hAnsi="Calibri"/>
                <w:b w:val="0"/>
                <w:sz w:val="16"/>
              </w:rPr>
              <w:t>Evaluation</w:t>
            </w:r>
          </w:p>
        </w:tc>
        <w:tc>
          <w:tcPr>
            <w:tcW w:type="dxa" w:w="3389"/>
            <w:vAlign w:val="center"/>
            <w:shd w:fill="EEF4F6"/>
          </w:tcPr>
          <w:p>
            <w:pPr>
              <w:spacing w:after="20"/>
            </w:pPr>
            <w:r/>
            <w:r>
              <w:rPr>
                <w:rFonts w:ascii="Calibri" w:hAnsi="Calibri"/>
                <w:b w:val="0"/>
                <w:sz w:val="16"/>
              </w:rPr>
              <w:t>Retrieval, span/context coverage, overlap, semantic similarity, claim support and cost reported separately.</w:t>
            </w:r>
          </w:p>
        </w:tc>
        <w:tc>
          <w:tcPr>
            <w:tcW w:type="dxa" w:w="3389"/>
            <w:vAlign w:val="center"/>
            <w:shd w:fill="EEF4F6"/>
          </w:tcPr>
          <w:p>
            <w:pPr>
              <w:spacing w:after="20"/>
            </w:pPr>
            <w:r/>
            <w:r>
              <w:rPr>
                <w:rFonts w:ascii="Calibri" w:hAnsi="Calibri"/>
                <w:b w:val="0"/>
                <w:sz w:val="16"/>
              </w:rPr>
              <w:t>Prevents one metric being mislabeled “accuracy.”</w:t>
            </w:r>
          </w:p>
        </w:tc>
      </w:tr>
    </w:tbl>
    <w:p>
      <w:pPr>
        <w:spacing w:after="20"/>
      </w:pPr>
    </w:p>
    <w:p>
      <w:pPr>
        <w:pStyle w:val="Heading2"/>
      </w:pPr>
      <w:r>
        <w:t>Why stop instead of adding another system layer?</w:t>
      </w:r>
    </w:p>
    <w:p>
      <w:r>
        <w:t>The project’s purpose is learning, and it already demonstrates data auditing, preprocessing, vector and lexical retrieval, passage selection, generator comparisons, paired evaluation, judge caveats, and failure analysis. The next layer is only worthwhile if it answers a specific question and has a controlled success criterion. Stopping now is a sound engineering choice; the future-scope section gives options to discuss without implying they have been implemented.</w:t>
      </w:r>
    </w:p>
    <w:p>
      <w:pPr>
        <w:pStyle w:val="Heading1"/>
      </w:pPr>
      <w:r>
        <w:t>9. Future implementation strategies for interview discussion</w:t>
      </w:r>
    </w:p>
    <w:p>
      <w:r>
        <w:t>The methods below are common research/engineering directions. “Expected effect” means a plausible target metric and mechanism, not an estimate of this project’s future score. Any numerical gain would need to be measured on a held-out or carefully controlled evaluation.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04A"/>
          </w:tcPr>
          <w:p>
            <w:pPr>
              <w:spacing w:after="20"/>
            </w:pPr>
            <w:r/>
            <w:r>
              <w:rPr>
                <w:rFonts w:ascii="Calibri" w:hAnsi="Calibri"/>
                <w:b/>
                <w:color w:val="FFFFFF"/>
                <w:sz w:val="16"/>
              </w:rPr>
              <w:t>Strategy</w:t>
            </w:r>
          </w:p>
        </w:tc>
        <w:tc>
          <w:tcPr>
            <w:tcW w:type="dxa" w:w="2541"/>
            <w:vAlign w:val="center"/>
            <w:shd w:fill="12304A"/>
          </w:tcPr>
          <w:p>
            <w:pPr>
              <w:spacing w:after="20"/>
            </w:pPr>
            <w:r/>
            <w:r>
              <w:rPr>
                <w:rFonts w:ascii="Calibri" w:hAnsi="Calibri"/>
                <w:b/>
                <w:color w:val="FFFFFF"/>
                <w:sz w:val="16"/>
              </w:rPr>
              <w:t>Problem it targets / expected direction</w:t>
            </w:r>
          </w:p>
        </w:tc>
        <w:tc>
          <w:tcPr>
            <w:tcW w:type="dxa" w:w="2541"/>
            <w:vAlign w:val="center"/>
            <w:shd w:fill="12304A"/>
          </w:tcPr>
          <w:p>
            <w:pPr>
              <w:spacing w:after="20"/>
            </w:pPr>
            <w:r/>
            <w:r>
              <w:rPr>
                <w:rFonts w:ascii="Calibri" w:hAnsi="Calibri"/>
                <w:b/>
                <w:color w:val="FFFFFF"/>
                <w:sz w:val="16"/>
              </w:rPr>
              <w:t>Cost and risk</w:t>
            </w:r>
          </w:p>
        </w:tc>
        <w:tc>
          <w:tcPr>
            <w:tcW w:type="dxa" w:w="2541"/>
            <w:vAlign w:val="center"/>
            <w:shd w:fill="12304A"/>
          </w:tcPr>
          <w:p>
            <w:pPr>
              <w:spacing w:after="20"/>
            </w:pPr>
            <w:r/>
            <w:r>
              <w:rPr>
                <w:rFonts w:ascii="Calibri" w:hAnsi="Calibri"/>
                <w:b/>
                <w:color w:val="FFFFFF"/>
                <w:sz w:val="16"/>
              </w:rPr>
              <w:t>Validation and reject condition</w:t>
            </w:r>
          </w:p>
        </w:tc>
      </w:tr>
      <w:tr>
        <w:tc>
          <w:tcPr>
            <w:tcW w:type="dxa" w:w="2541"/>
            <w:vAlign w:val="center"/>
          </w:tcPr>
          <w:p>
            <w:pPr>
              <w:spacing w:after="20"/>
            </w:pPr>
            <w:r/>
            <w:r>
              <w:rPr>
                <w:rFonts w:ascii="Calibri" w:hAnsi="Calibri"/>
                <w:b w:val="0"/>
                <w:sz w:val="16"/>
              </w:rPr>
              <w:t>BM25 + BGE-M3 passage fusion (RRF)</w:t>
            </w:r>
          </w:p>
        </w:tc>
        <w:tc>
          <w:tcPr>
            <w:tcW w:type="dxa" w:w="2541"/>
            <w:vAlign w:val="center"/>
          </w:tcPr>
          <w:p>
            <w:pPr>
              <w:spacing w:after="20"/>
            </w:pPr>
            <w:r/>
            <w:r>
              <w:rPr>
                <w:rFonts w:ascii="Calibri" w:hAnsi="Calibri"/>
                <w:b w:val="0"/>
                <w:sz w:val="16"/>
              </w:rPr>
              <w:t>Combine exact identifiers/terms with semantic passage matches; test answer-span coverage, reference-in-context and end-to-end quality. Candidate document Recall@20 should stay unchanged if candidates are frozen.</w:t>
            </w:r>
          </w:p>
        </w:tc>
        <w:tc>
          <w:tcPr>
            <w:tcW w:type="dxa" w:w="2541"/>
            <w:vAlign w:val="center"/>
          </w:tcPr>
          <w:p>
            <w:pPr>
              <w:spacing w:after="20"/>
            </w:pPr>
            <w:r/>
            <w:r>
              <w:rPr>
                <w:rFonts w:ascii="Calibri" w:hAnsi="Calibri"/>
                <w:b w:val="0"/>
                <w:sz w:val="16"/>
              </w:rPr>
              <w:t>Low–medium if the subset embeddings align; full coverage may require more embedding work. Fusion can promote redundant near-matches.</w:t>
            </w:r>
          </w:p>
        </w:tc>
        <w:tc>
          <w:tcPr>
            <w:tcW w:type="dxa" w:w="2541"/>
            <w:vAlign w:val="center"/>
          </w:tcPr>
          <w:p>
            <w:pPr>
              <w:spacing w:after="20"/>
            </w:pPr>
            <w:r/>
            <w:r>
              <w:rPr>
                <w:rFonts w:ascii="Calibri" w:hAnsi="Calibri"/>
                <w:b w:val="0"/>
                <w:sz w:val="16"/>
              </w:rPr>
              <w:t>Compare BM25, BGE, and RRF on same candidate docs, context budget, expansion, generator. Reject if gains are not repeatable or cost/longer contexts offset quality.</w:t>
            </w:r>
          </w:p>
        </w:tc>
      </w:tr>
      <w:tr>
        <w:tc>
          <w:tcPr>
            <w:tcW w:type="dxa" w:w="2541"/>
            <w:vAlign w:val="center"/>
            <w:shd w:fill="EEF4F6"/>
          </w:tcPr>
          <w:p>
            <w:pPr>
              <w:spacing w:after="20"/>
            </w:pPr>
            <w:r/>
            <w:r>
              <w:rPr>
                <w:rFonts w:ascii="Calibri" w:hAnsi="Calibri"/>
                <w:b w:val="0"/>
                <w:sz w:val="16"/>
              </w:rPr>
              <w:t>Query rewriting / query expansion</w:t>
            </w:r>
          </w:p>
        </w:tc>
        <w:tc>
          <w:tcPr>
            <w:tcW w:type="dxa" w:w="2541"/>
            <w:vAlign w:val="center"/>
            <w:shd w:fill="EEF4F6"/>
          </w:tcPr>
          <w:p>
            <w:pPr>
              <w:spacing w:after="20"/>
            </w:pPr>
            <w:r/>
            <w:r>
              <w:rPr>
                <w:rFonts w:ascii="Calibri" w:hAnsi="Calibri"/>
                <w:b w:val="0"/>
                <w:sz w:val="16"/>
              </w:rPr>
              <w:t>Add useful alternate wording, product aliases or symptom terms; likely target is candidate recall. Query drift may retrieve the wrong version/product.</w:t>
            </w:r>
          </w:p>
        </w:tc>
        <w:tc>
          <w:tcPr>
            <w:tcW w:type="dxa" w:w="2541"/>
            <w:vAlign w:val="center"/>
            <w:shd w:fill="EEF4F6"/>
          </w:tcPr>
          <w:p>
            <w:pPr>
              <w:spacing w:after="20"/>
            </w:pPr>
            <w:r/>
            <w:r>
              <w:rPr>
                <w:rFonts w:ascii="Calibri" w:hAnsi="Calibri"/>
                <w:b w:val="0"/>
                <w:sz w:val="16"/>
              </w:rPr>
              <w:t>Low to medium; extra retrieval calls or a small model call. Exact codes/version strings must remain intact.</w:t>
            </w:r>
          </w:p>
        </w:tc>
        <w:tc>
          <w:tcPr>
            <w:tcW w:type="dxa" w:w="2541"/>
            <w:vAlign w:val="center"/>
            <w:shd w:fill="EEF4F6"/>
          </w:tcPr>
          <w:p>
            <w:pPr>
              <w:spacing w:after="20"/>
            </w:pPr>
            <w:r/>
            <w:r>
              <w:rPr>
                <w:rFonts w:ascii="Calibri" w:hAnsi="Calibri"/>
                <w:b w:val="0"/>
                <w:sz w:val="16"/>
              </w:rPr>
              <w:t>Freeze top-k and evaluate gold-document Recall@k and answer-span recall; reject if recall does not improve without harming precision/context.</w:t>
            </w:r>
          </w:p>
        </w:tc>
      </w:tr>
      <w:tr>
        <w:tc>
          <w:tcPr>
            <w:tcW w:type="dxa" w:w="2541"/>
            <w:vAlign w:val="center"/>
          </w:tcPr>
          <w:p>
            <w:pPr>
              <w:spacing w:after="20"/>
            </w:pPr>
            <w:r/>
            <w:r>
              <w:rPr>
                <w:rFonts w:ascii="Calibri" w:hAnsi="Calibri"/>
                <w:b w:val="0"/>
                <w:sz w:val="16"/>
              </w:rPr>
              <w:t>Structure-aware passage scoring</w:t>
            </w:r>
          </w:p>
        </w:tc>
        <w:tc>
          <w:tcPr>
            <w:tcW w:type="dxa" w:w="2541"/>
            <w:vAlign w:val="center"/>
          </w:tcPr>
          <w:p>
            <w:pPr>
              <w:spacing w:after="20"/>
            </w:pPr>
            <w:r/>
            <w:r>
              <w:rPr>
                <w:rFonts w:ascii="Calibri" w:hAnsi="Calibri"/>
                <w:b w:val="0"/>
                <w:sz w:val="16"/>
              </w:rPr>
              <w:t>Use headings such as QUESTION, ANSWER, SYMPTOM, CAUSE, RESOLVING THE PROBLEM as soft ranking features, not brittle hard parsing. Target evidence-bearing passage rank.</w:t>
            </w:r>
          </w:p>
        </w:tc>
        <w:tc>
          <w:tcPr>
            <w:tcW w:type="dxa" w:w="2541"/>
            <w:vAlign w:val="center"/>
          </w:tcPr>
          <w:p>
            <w:pPr>
              <w:spacing w:after="20"/>
            </w:pPr>
            <w:r/>
            <w:r>
              <w:rPr>
                <w:rFonts w:ascii="Calibri" w:hAnsi="Calibri"/>
                <w:b w:val="0"/>
                <w:sz w:val="16"/>
              </w:rPr>
              <w:t>Low implementation cost after heading extraction; inconsistent notes and false section boundaries are risks.</w:t>
            </w:r>
          </w:p>
        </w:tc>
        <w:tc>
          <w:tcPr>
            <w:tcW w:type="dxa" w:w="2541"/>
            <w:vAlign w:val="center"/>
          </w:tcPr>
          <w:p>
            <w:pPr>
              <w:spacing w:after="20"/>
            </w:pPr>
            <w:r/>
            <w:r>
              <w:rPr>
                <w:rFonts w:ascii="Calibri" w:hAnsi="Calibri"/>
                <w:b w:val="0"/>
                <w:sz w:val="16"/>
              </w:rPr>
              <w:t>Audit section labels, then add one feature at a time; compare answer-span/context containment at equal tokens. Reject if gains depend on a few templates or hurt unstructured notes.</w:t>
            </w:r>
          </w:p>
        </w:tc>
      </w:tr>
      <w:tr>
        <w:tc>
          <w:tcPr>
            <w:tcW w:type="dxa" w:w="2541"/>
            <w:vAlign w:val="center"/>
            <w:shd w:fill="EEF4F6"/>
          </w:tcPr>
          <w:p>
            <w:pPr>
              <w:spacing w:after="20"/>
            </w:pPr>
            <w:r/>
            <w:r>
              <w:rPr>
                <w:rFonts w:ascii="Calibri" w:hAnsi="Calibri"/>
                <w:b w:val="0"/>
                <w:sz w:val="16"/>
              </w:rPr>
              <w:t>Domain-specific cross-encoder reranker</w:t>
            </w:r>
          </w:p>
        </w:tc>
        <w:tc>
          <w:tcPr>
            <w:tcW w:type="dxa" w:w="2541"/>
            <w:vAlign w:val="center"/>
            <w:shd w:fill="EEF4F6"/>
          </w:tcPr>
          <w:p>
            <w:pPr>
              <w:spacing w:after="20"/>
            </w:pPr>
            <w:r/>
            <w:r>
              <w:rPr>
                <w:rFonts w:ascii="Calibri" w:hAnsi="Calibri"/>
                <w:b w:val="0"/>
                <w:sz w:val="16"/>
              </w:rPr>
              <w:t>Score question–passage relevance after broad recall; target top-k passage precision. It cannot fix missing candidates or a relevance label that differs from answer-bearing evidence.</w:t>
            </w:r>
          </w:p>
        </w:tc>
        <w:tc>
          <w:tcPr>
            <w:tcW w:type="dxa" w:w="2541"/>
            <w:vAlign w:val="center"/>
            <w:shd w:fill="EEF4F6"/>
          </w:tcPr>
          <w:p>
            <w:pPr>
              <w:spacing w:after="20"/>
            </w:pPr>
            <w:r/>
            <w:r>
              <w:rPr>
                <w:rFonts w:ascii="Calibri" w:hAnsi="Calibri"/>
                <w:b w:val="0"/>
                <w:sz w:val="16"/>
              </w:rPr>
              <w:t>Medium/high latency and potentially fine-tuning label work. Hard negatives and representative labels needed.</w:t>
            </w:r>
          </w:p>
        </w:tc>
        <w:tc>
          <w:tcPr>
            <w:tcW w:type="dxa" w:w="2541"/>
            <w:vAlign w:val="center"/>
            <w:shd w:fill="EEF4F6"/>
          </w:tcPr>
          <w:p>
            <w:pPr>
              <w:spacing w:after="20"/>
            </w:pPr>
            <w:r/>
            <w:r>
              <w:rPr>
                <w:rFonts w:ascii="Calibri" w:hAnsi="Calibri"/>
                <w:b w:val="0"/>
                <w:sz w:val="16"/>
              </w:rPr>
              <w:t>First use validated human/curated passage labels; run on fixed candidate pool and token budget. Reject if no paired evidence/context improvement vs BM25.</w:t>
            </w:r>
          </w:p>
        </w:tc>
      </w:tr>
      <w:tr>
        <w:tc>
          <w:tcPr>
            <w:tcW w:type="dxa" w:w="2541"/>
            <w:vAlign w:val="center"/>
          </w:tcPr>
          <w:p>
            <w:pPr>
              <w:spacing w:after="20"/>
            </w:pPr>
            <w:r/>
            <w:r>
              <w:rPr>
                <w:rFonts w:ascii="Calibri" w:hAnsi="Calibri"/>
                <w:b w:val="0"/>
                <w:sz w:val="16"/>
              </w:rPr>
              <w:t>Grounded output with citations/quotes and abstention</w:t>
            </w:r>
          </w:p>
        </w:tc>
        <w:tc>
          <w:tcPr>
            <w:tcW w:type="dxa" w:w="2541"/>
            <w:vAlign w:val="center"/>
          </w:tcPr>
          <w:p>
            <w:pPr>
              <w:spacing w:after="20"/>
            </w:pPr>
            <w:r/>
            <w:r>
              <w:rPr>
                <w:rFonts w:ascii="Calibri" w:hAnsi="Calibri"/>
                <w:b w:val="0"/>
                <w:sz w:val="16"/>
              </w:rPr>
              <w:t>Make source evidence auditable; expected to improve verifiability and reduce unsupported assertions, not necessarily reference overlap.</w:t>
            </w:r>
          </w:p>
        </w:tc>
        <w:tc>
          <w:tcPr>
            <w:tcW w:type="dxa" w:w="2541"/>
            <w:vAlign w:val="center"/>
          </w:tcPr>
          <w:p>
            <w:pPr>
              <w:spacing w:after="20"/>
            </w:pPr>
            <w:r/>
            <w:r>
              <w:rPr>
                <w:rFonts w:ascii="Calibri" w:hAnsi="Calibri"/>
                <w:b w:val="0"/>
                <w:sz w:val="16"/>
              </w:rPr>
              <w:t>Low/medium prompt and validation work; citations may be incomplete and abstention can reduce answer rate.</w:t>
            </w:r>
          </w:p>
        </w:tc>
        <w:tc>
          <w:tcPr>
            <w:tcW w:type="dxa" w:w="2541"/>
            <w:vAlign w:val="center"/>
          </w:tcPr>
          <w:p>
            <w:pPr>
              <w:spacing w:after="20"/>
            </w:pPr>
            <w:r/>
            <w:r>
              <w:rPr>
                <w:rFonts w:ascii="Calibri" w:hAnsi="Calibri"/>
                <w:b w:val="0"/>
                <w:sz w:val="16"/>
              </w:rPr>
              <w:t>Check citation IDs and quotes programmatically, then human audit answer correctness and supported-claim rate. Reject format if it adds unsupported confidence or unusable citations.</w:t>
            </w:r>
          </w:p>
        </w:tc>
      </w:tr>
      <w:tr>
        <w:tc>
          <w:tcPr>
            <w:tcW w:type="dxa" w:w="2541"/>
            <w:vAlign w:val="center"/>
            <w:shd w:fill="EEF4F6"/>
          </w:tcPr>
          <w:p>
            <w:pPr>
              <w:spacing w:after="20"/>
            </w:pPr>
            <w:r/>
            <w:r>
              <w:rPr>
                <w:rFonts w:ascii="Calibri" w:hAnsi="Calibri"/>
                <w:b w:val="0"/>
                <w:sz w:val="16"/>
              </w:rPr>
              <w:t>Human-calibrated evaluation (ARES/RAGAS-style)</w:t>
            </w:r>
          </w:p>
        </w:tc>
        <w:tc>
          <w:tcPr>
            <w:tcW w:type="dxa" w:w="2541"/>
            <w:vAlign w:val="center"/>
            <w:shd w:fill="EEF4F6"/>
          </w:tcPr>
          <w:p>
            <w:pPr>
              <w:spacing w:after="20"/>
            </w:pPr>
            <w:r/>
            <w:r>
              <w:rPr>
                <w:rFonts w:ascii="Calibri" w:hAnsi="Calibri"/>
                <w:b w:val="0"/>
                <w:sz w:val="16"/>
              </w:rPr>
              <w:t>Improve reliability of answer/context evaluation using criteria calibrated to human labels. Expected output: more trustworthy estimates, not necessarily better model answers.</w:t>
            </w:r>
          </w:p>
        </w:tc>
        <w:tc>
          <w:tcPr>
            <w:tcW w:type="dxa" w:w="2541"/>
            <w:vAlign w:val="center"/>
            <w:shd w:fill="EEF4F6"/>
          </w:tcPr>
          <w:p>
            <w:pPr>
              <w:spacing w:after="20"/>
            </w:pPr>
            <w:r/>
            <w:r>
              <w:rPr>
                <w:rFonts w:ascii="Calibri" w:hAnsi="Calibri"/>
                <w:b w:val="0"/>
                <w:sz w:val="16"/>
              </w:rPr>
              <w:t>Requires a modest, stratified expert review set; judge design and calibration effort.</w:t>
            </w:r>
          </w:p>
        </w:tc>
        <w:tc>
          <w:tcPr>
            <w:tcW w:type="dxa" w:w="2541"/>
            <w:vAlign w:val="center"/>
            <w:shd w:fill="EEF4F6"/>
          </w:tcPr>
          <w:p>
            <w:pPr>
              <w:spacing w:after="20"/>
            </w:pPr>
            <w:r/>
            <w:r>
              <w:rPr>
                <w:rFonts w:ascii="Calibri" w:hAnsi="Calibri"/>
                <w:b w:val="0"/>
                <w:sz w:val="16"/>
              </w:rPr>
              <w:t>Use double review on a sample, report agreement, tune judge against labels, then evaluate unseen items. Reject automated score if it does not track human labels.</w:t>
            </w:r>
          </w:p>
        </w:tc>
      </w:tr>
      <w:tr>
        <w:tc>
          <w:tcPr>
            <w:tcW w:type="dxa" w:w="2541"/>
            <w:vAlign w:val="center"/>
          </w:tcPr>
          <w:p>
            <w:pPr>
              <w:spacing w:after="20"/>
            </w:pPr>
            <w:r/>
            <w:r>
              <w:rPr>
                <w:rFonts w:ascii="Calibri" w:hAnsi="Calibri"/>
                <w:b w:val="0"/>
                <w:sz w:val="16"/>
              </w:rPr>
              <w:t>Reader/model comparison with oracle evidence</w:t>
            </w:r>
          </w:p>
        </w:tc>
        <w:tc>
          <w:tcPr>
            <w:tcW w:type="dxa" w:w="2541"/>
            <w:vAlign w:val="center"/>
          </w:tcPr>
          <w:p>
            <w:pPr>
              <w:spacing w:after="20"/>
            </w:pPr>
            <w:r/>
            <w:r>
              <w:rPr>
                <w:rFonts w:ascii="Calibri" w:hAnsi="Calibri"/>
                <w:b w:val="0"/>
                <w:sz w:val="16"/>
              </w:rPr>
              <w:t>Separate reader weakness from retrieval weakness; test compact vs stronger model on identical retrieved and oracle contexts.</w:t>
            </w:r>
          </w:p>
        </w:tc>
        <w:tc>
          <w:tcPr>
            <w:tcW w:type="dxa" w:w="2541"/>
            <w:vAlign w:val="center"/>
          </w:tcPr>
          <w:p>
            <w:pPr>
              <w:spacing w:after="20"/>
            </w:pPr>
            <w:r/>
            <w:r>
              <w:rPr>
                <w:rFonts w:ascii="Calibri" w:hAnsi="Calibri"/>
                <w:b w:val="0"/>
                <w:sz w:val="16"/>
              </w:rPr>
              <w:t>API/GPU cost; oracle evidence is diagnostic only and unavailable in production.</w:t>
            </w:r>
          </w:p>
        </w:tc>
        <w:tc>
          <w:tcPr>
            <w:tcW w:type="dxa" w:w="2541"/>
            <w:vAlign w:val="center"/>
          </w:tcPr>
          <w:p>
            <w:pPr>
              <w:spacing w:after="20"/>
            </w:pPr>
            <w:r/>
            <w:r>
              <w:rPr>
                <w:rFonts w:ascii="Calibri" w:hAnsi="Calibri"/>
                <w:b w:val="0"/>
                <w:sz w:val="16"/>
              </w:rPr>
              <w:t>Same prompts/decoding and paired questions; compare grounded correctness, overlap, latency/cost. Choose a larger reader only if quality gain justifies cost.</w:t>
            </w:r>
          </w:p>
        </w:tc>
      </w:tr>
      <w:tr>
        <w:tc>
          <w:tcPr>
            <w:tcW w:type="dxa" w:w="2541"/>
            <w:vAlign w:val="center"/>
            <w:shd w:fill="EEF4F6"/>
          </w:tcPr>
          <w:p>
            <w:pPr>
              <w:spacing w:after="20"/>
            </w:pPr>
            <w:r/>
            <w:r>
              <w:rPr>
                <w:rFonts w:ascii="Calibri" w:hAnsi="Calibri"/>
                <w:b w:val="0"/>
                <w:sz w:val="16"/>
              </w:rPr>
              <w:t>Hierarchical retrieval / GraphRAG</w:t>
            </w:r>
          </w:p>
        </w:tc>
        <w:tc>
          <w:tcPr>
            <w:tcW w:type="dxa" w:w="2541"/>
            <w:vAlign w:val="center"/>
            <w:shd w:fill="EEF4F6"/>
          </w:tcPr>
          <w:p>
            <w:pPr>
              <w:spacing w:after="20"/>
            </w:pPr>
            <w:r/>
            <w:r>
              <w:rPr>
                <w:rFonts w:ascii="Calibri" w:hAnsi="Calibri"/>
                <w:b w:val="0"/>
                <w:sz w:val="16"/>
              </w:rPr>
              <w:t>Potentially help questions requiring relations across multiple notes or long documents. Not expected to help simple single-note fixes automatically.</w:t>
            </w:r>
          </w:p>
        </w:tc>
        <w:tc>
          <w:tcPr>
            <w:tcW w:type="dxa" w:w="2541"/>
            <w:vAlign w:val="center"/>
            <w:shd w:fill="EEF4F6"/>
          </w:tcPr>
          <w:p>
            <w:pPr>
              <w:spacing w:after="20"/>
            </w:pPr>
            <w:r/>
            <w:r>
              <w:rPr>
                <w:rFonts w:ascii="Calibri" w:hAnsi="Calibri"/>
                <w:b w:val="0"/>
                <w:sz w:val="16"/>
              </w:rPr>
              <w:t>High data/modeling complexity; graph edges can be noisy and retrieval paths obscure provenance.</w:t>
            </w:r>
          </w:p>
        </w:tc>
        <w:tc>
          <w:tcPr>
            <w:tcW w:type="dxa" w:w="2541"/>
            <w:vAlign w:val="center"/>
            <w:shd w:fill="EEF4F6"/>
          </w:tcPr>
          <w:p>
            <w:pPr>
              <w:spacing w:after="20"/>
            </w:pPr>
            <w:r/>
            <w:r>
              <w:rPr>
                <w:rFonts w:ascii="Calibri" w:hAnsi="Calibri"/>
                <w:b w:val="0"/>
                <w:sz w:val="16"/>
              </w:rPr>
              <w:t>First classify a subset as true multi-hop, measure baseline failures there, then test graph retrieval only on that subset. Reject if benefit is absent or explainability drops.</w:t>
            </w:r>
          </w:p>
        </w:tc>
      </w:tr>
    </w:tbl>
    <w:p>
      <w:pPr>
        <w:spacing w:after="20"/>
      </w:pPr>
    </w:p>
    <w:p>
      <w:pPr>
        <w:pStyle w:val="Heading2"/>
      </w:pPr>
      <w:r>
        <w:t>What “state of the art” would mean here</w:t>
      </w:r>
    </w:p>
    <w:p>
      <w:r>
        <w:t>A valid SOTA claim requires a defined benchmark split, official evaluation protocol, comparable systems, reproducible runs and published results. This project’s development-set experiments do not establish leaderboard rank or a single score out of 100. A strong applied project claim is instead that the pipeline is traceable, its failure stages are measured, and trade-offs are tested honestly.</w:t>
      </w:r>
    </w:p>
    <w:p>
      <w:r>
        <w:br w:type="page"/>
      </w:r>
    </w:p>
    <w:p>
      <w:pPr>
        <w:pStyle w:val="Heading1"/>
      </w:pPr>
      <w:r>
        <w:t>10. Practical future roadmap (optional, if the project is reopened)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04A"/>
          </w:tcPr>
          <w:p>
            <w:pPr>
              <w:spacing w:after="20"/>
            </w:pPr>
            <w:r/>
            <w:r>
              <w:rPr>
                <w:rFonts w:ascii="Calibri" w:hAnsi="Calibri"/>
                <w:b/>
                <w:color w:val="FFFFFF"/>
                <w:sz w:val="16"/>
              </w:rPr>
              <w:t>Order</w:t>
            </w:r>
          </w:p>
        </w:tc>
        <w:tc>
          <w:tcPr>
            <w:tcW w:type="dxa" w:w="2541"/>
            <w:vAlign w:val="center"/>
            <w:shd w:fill="12304A"/>
          </w:tcPr>
          <w:p>
            <w:pPr>
              <w:spacing w:after="20"/>
            </w:pPr>
            <w:r/>
            <w:r>
              <w:rPr>
                <w:rFonts w:ascii="Calibri" w:hAnsi="Calibri"/>
                <w:b/>
                <w:color w:val="FFFFFF"/>
                <w:sz w:val="16"/>
              </w:rPr>
              <w:t>Experiment</w:t>
            </w:r>
          </w:p>
        </w:tc>
        <w:tc>
          <w:tcPr>
            <w:tcW w:type="dxa" w:w="2541"/>
            <w:vAlign w:val="center"/>
            <w:shd w:fill="12304A"/>
          </w:tcPr>
          <w:p>
            <w:pPr>
              <w:spacing w:after="20"/>
            </w:pPr>
            <w:r/>
            <w:r>
              <w:rPr>
                <w:rFonts w:ascii="Calibri" w:hAnsi="Calibri"/>
                <w:b/>
                <w:color w:val="FFFFFF"/>
                <w:sz w:val="16"/>
              </w:rPr>
              <w:t>Precondition</w:t>
            </w:r>
          </w:p>
        </w:tc>
        <w:tc>
          <w:tcPr>
            <w:tcW w:type="dxa" w:w="2541"/>
            <w:vAlign w:val="center"/>
            <w:shd w:fill="12304A"/>
          </w:tcPr>
          <w:p>
            <w:pPr>
              <w:spacing w:after="20"/>
            </w:pPr>
            <w:r/>
            <w:r>
              <w:rPr>
                <w:rFonts w:ascii="Calibri" w:hAnsi="Calibri"/>
                <w:b/>
                <w:color w:val="FFFFFF"/>
                <w:sz w:val="16"/>
              </w:rPr>
              <w:t>Primary metric / decision gate</w:t>
            </w:r>
          </w:p>
        </w:tc>
      </w:tr>
      <w:tr>
        <w:tc>
          <w:tcPr>
            <w:tcW w:type="dxa" w:w="2541"/>
            <w:vAlign w:val="center"/>
          </w:tcPr>
          <w:p>
            <w:pPr>
              <w:spacing w:after="20"/>
            </w:pPr>
            <w:r/>
            <w:r>
              <w:rPr>
                <w:rFonts w:ascii="Calibri" w:hAnsi="Calibri"/>
                <w:b w:val="0"/>
                <w:sz w:val="16"/>
              </w:rPr>
              <w:t>1</w:t>
            </w:r>
          </w:p>
        </w:tc>
        <w:tc>
          <w:tcPr>
            <w:tcW w:type="dxa" w:w="2541"/>
            <w:vAlign w:val="center"/>
          </w:tcPr>
          <w:p>
            <w:pPr>
              <w:spacing w:after="20"/>
            </w:pPr>
            <w:r/>
            <w:r>
              <w:rPr>
                <w:rFonts w:ascii="Calibri" w:hAnsi="Calibri"/>
                <w:b w:val="0"/>
                <w:sz w:val="16"/>
              </w:rPr>
              <w:t>Freeze artifacts and document baseline versions/configs.</w:t>
            </w:r>
          </w:p>
        </w:tc>
        <w:tc>
          <w:tcPr>
            <w:tcW w:type="dxa" w:w="2541"/>
            <w:vAlign w:val="center"/>
          </w:tcPr>
          <w:p>
            <w:pPr>
              <w:spacing w:after="20"/>
            </w:pPr>
            <w:r/>
            <w:r>
              <w:rPr>
                <w:rFonts w:ascii="Calibri" w:hAnsi="Calibri"/>
                <w:b w:val="0"/>
                <w:sz w:val="16"/>
              </w:rPr>
              <w:t>Existing results retained; record exact input hashes, package versions, model IDs, token limits.</w:t>
            </w:r>
          </w:p>
        </w:tc>
        <w:tc>
          <w:tcPr>
            <w:tcW w:type="dxa" w:w="2541"/>
            <w:vAlign w:val="center"/>
          </w:tcPr>
          <w:p>
            <w:pPr>
              <w:spacing w:after="20"/>
            </w:pPr>
            <w:r/>
            <w:r>
              <w:rPr>
                <w:rFonts w:ascii="Calibri" w:hAnsi="Calibri"/>
                <w:b w:val="0"/>
                <w:sz w:val="16"/>
              </w:rPr>
              <w:t>A rerun reproduces core table within expected deterministic/API variance.</w:t>
            </w:r>
          </w:p>
        </w:tc>
      </w:tr>
      <w:tr>
        <w:tc>
          <w:tcPr>
            <w:tcW w:type="dxa" w:w="2541"/>
            <w:vAlign w:val="center"/>
            <w:shd w:fill="EEF4F6"/>
          </w:tcPr>
          <w:p>
            <w:pPr>
              <w:spacing w:after="20"/>
            </w:pPr>
            <w:r/>
            <w:r>
              <w:rPr>
                <w:rFonts w:ascii="Calibri" w:hAnsi="Calibri"/>
                <w:b w:val="0"/>
                <w:sz w:val="16"/>
              </w:rPr>
              <w:t>2</w:t>
            </w:r>
          </w:p>
        </w:tc>
        <w:tc>
          <w:tcPr>
            <w:tcW w:type="dxa" w:w="2541"/>
            <w:vAlign w:val="center"/>
            <w:shd w:fill="EEF4F6"/>
          </w:tcPr>
          <w:p>
            <w:pPr>
              <w:spacing w:after="20"/>
            </w:pPr>
            <w:r/>
            <w:r>
              <w:rPr>
                <w:rFonts w:ascii="Calibri" w:hAnsi="Calibri"/>
                <w:b w:val="0"/>
                <w:sz w:val="16"/>
              </w:rPr>
              <w:t>BM25 vs BGE vs RRF passage selection under same context-token budget.</w:t>
            </w:r>
          </w:p>
        </w:tc>
        <w:tc>
          <w:tcPr>
            <w:tcW w:type="dxa" w:w="2541"/>
            <w:vAlign w:val="center"/>
            <w:shd w:fill="EEF4F6"/>
          </w:tcPr>
          <w:p>
            <w:pPr>
              <w:spacing w:after="20"/>
            </w:pPr>
            <w:r/>
            <w:r>
              <w:rPr>
                <w:rFonts w:ascii="Calibri" w:hAnsi="Calibri"/>
                <w:b w:val="0"/>
                <w:sz w:val="16"/>
              </w:rPr>
              <w:t>Map stored vector IDs to V2 chunk IDs; determine missing coverage.</w:t>
            </w:r>
          </w:p>
        </w:tc>
        <w:tc>
          <w:tcPr>
            <w:tcW w:type="dxa" w:w="2541"/>
            <w:vAlign w:val="center"/>
            <w:shd w:fill="EEF4F6"/>
          </w:tcPr>
          <w:p>
            <w:pPr>
              <w:spacing w:after="20"/>
            </w:pPr>
            <w:r/>
            <w:r>
              <w:rPr>
                <w:rFonts w:ascii="Calibri" w:hAnsi="Calibri"/>
                <w:b w:val="0"/>
                <w:sz w:val="16"/>
              </w:rPr>
              <w:t>Answer-span coverage + reference containment + paired generation metrics; hybrid only retained if paired improvement justifies complexity.</w:t>
            </w:r>
          </w:p>
        </w:tc>
      </w:tr>
      <w:tr>
        <w:tc>
          <w:tcPr>
            <w:tcW w:type="dxa" w:w="2541"/>
            <w:vAlign w:val="center"/>
          </w:tcPr>
          <w:p>
            <w:pPr>
              <w:spacing w:after="20"/>
            </w:pPr>
            <w:r/>
            <w:r>
              <w:rPr>
                <w:rFonts w:ascii="Calibri" w:hAnsi="Calibri"/>
                <w:b w:val="0"/>
                <w:sz w:val="16"/>
              </w:rPr>
              <w:t>3</w:t>
            </w:r>
          </w:p>
        </w:tc>
        <w:tc>
          <w:tcPr>
            <w:tcW w:type="dxa" w:w="2541"/>
            <w:vAlign w:val="center"/>
          </w:tcPr>
          <w:p>
            <w:pPr>
              <w:spacing w:after="20"/>
            </w:pPr>
            <w:r/>
            <w:r>
              <w:rPr>
                <w:rFonts w:ascii="Calibri" w:hAnsi="Calibri"/>
                <w:b w:val="0"/>
                <w:sz w:val="16"/>
              </w:rPr>
              <w:t>Structure heading feature vs baseline.</w:t>
            </w:r>
          </w:p>
        </w:tc>
        <w:tc>
          <w:tcPr>
            <w:tcW w:type="dxa" w:w="2541"/>
            <w:vAlign w:val="center"/>
          </w:tcPr>
          <w:p>
            <w:pPr>
              <w:spacing w:after="20"/>
            </w:pPr>
            <w:r/>
            <w:r>
              <w:rPr>
                <w:rFonts w:ascii="Calibri" w:hAnsi="Calibri"/>
                <w:b w:val="0"/>
                <w:sz w:val="16"/>
              </w:rPr>
              <w:t>Automated heading extraction with error audit.</w:t>
            </w:r>
          </w:p>
        </w:tc>
        <w:tc>
          <w:tcPr>
            <w:tcW w:type="dxa" w:w="2541"/>
            <w:vAlign w:val="center"/>
          </w:tcPr>
          <w:p>
            <w:pPr>
              <w:spacing w:after="20"/>
            </w:pPr>
            <w:r/>
            <w:r>
              <w:rPr>
                <w:rFonts w:ascii="Calibri" w:hAnsi="Calibri"/>
                <w:b w:val="0"/>
                <w:sz w:val="16"/>
              </w:rPr>
              <w:t>Improved top-context evidence at equal tokens, no regression on irregular notes.</w:t>
            </w:r>
          </w:p>
        </w:tc>
      </w:tr>
      <w:tr>
        <w:tc>
          <w:tcPr>
            <w:tcW w:type="dxa" w:w="2541"/>
            <w:vAlign w:val="center"/>
            <w:shd w:fill="EEF4F6"/>
          </w:tcPr>
          <w:p>
            <w:pPr>
              <w:spacing w:after="20"/>
            </w:pPr>
            <w:r/>
            <w:r>
              <w:rPr>
                <w:rFonts w:ascii="Calibri" w:hAnsi="Calibri"/>
                <w:b w:val="0"/>
                <w:sz w:val="16"/>
              </w:rPr>
              <w:t>4</w:t>
            </w:r>
          </w:p>
        </w:tc>
        <w:tc>
          <w:tcPr>
            <w:tcW w:type="dxa" w:w="2541"/>
            <w:vAlign w:val="center"/>
            <w:shd w:fill="EEF4F6"/>
          </w:tcPr>
          <w:p>
            <w:pPr>
              <w:spacing w:after="20"/>
            </w:pPr>
            <w:r/>
            <w:r>
              <w:rPr>
                <w:rFonts w:ascii="Calibri" w:hAnsi="Calibri"/>
                <w:b w:val="0"/>
                <w:sz w:val="16"/>
              </w:rPr>
              <w:t>Gold-evidence reader comparison or prompt-only grounding check.</w:t>
            </w:r>
          </w:p>
        </w:tc>
        <w:tc>
          <w:tcPr>
            <w:tcW w:type="dxa" w:w="2541"/>
            <w:vAlign w:val="center"/>
            <w:shd w:fill="EEF4F6"/>
          </w:tcPr>
          <w:p>
            <w:pPr>
              <w:spacing w:after="20"/>
            </w:pPr>
            <w:r/>
            <w:r>
              <w:rPr>
                <w:rFonts w:ascii="Calibri" w:hAnsi="Calibri"/>
                <w:b w:val="0"/>
                <w:sz w:val="16"/>
              </w:rPr>
              <w:t>Use same contexts and save exact prompts/responses.</w:t>
            </w:r>
          </w:p>
        </w:tc>
        <w:tc>
          <w:tcPr>
            <w:tcW w:type="dxa" w:w="2541"/>
            <w:vAlign w:val="center"/>
            <w:shd w:fill="EEF4F6"/>
          </w:tcPr>
          <w:p>
            <w:pPr>
              <w:spacing w:after="20"/>
            </w:pPr>
            <w:r/>
            <w:r>
              <w:rPr>
                <w:rFonts w:ascii="Calibri" w:hAnsi="Calibri"/>
                <w:b w:val="0"/>
                <w:sz w:val="16"/>
              </w:rPr>
              <w:t>Answer-level human-calibrated correctness/support; oracle isolates generator ceiling.</w:t>
            </w:r>
          </w:p>
        </w:tc>
      </w:tr>
      <w:tr>
        <w:tc>
          <w:tcPr>
            <w:tcW w:type="dxa" w:w="2541"/>
            <w:vAlign w:val="center"/>
          </w:tcPr>
          <w:p>
            <w:pPr>
              <w:spacing w:after="20"/>
            </w:pPr>
            <w:r/>
            <w:r>
              <w:rPr>
                <w:rFonts w:ascii="Calibri" w:hAnsi="Calibri"/>
                <w:b w:val="0"/>
                <w:sz w:val="16"/>
              </w:rPr>
              <w:t>5</w:t>
            </w:r>
          </w:p>
        </w:tc>
        <w:tc>
          <w:tcPr>
            <w:tcW w:type="dxa" w:w="2541"/>
            <w:vAlign w:val="center"/>
          </w:tcPr>
          <w:p>
            <w:pPr>
              <w:spacing w:after="20"/>
            </w:pPr>
            <w:r/>
            <w:r>
              <w:rPr>
                <w:rFonts w:ascii="Calibri" w:hAnsi="Calibri"/>
                <w:b w:val="0"/>
                <w:sz w:val="16"/>
              </w:rPr>
              <w:t>Small stratified human review to calibrate judges.</w:t>
            </w:r>
          </w:p>
        </w:tc>
        <w:tc>
          <w:tcPr>
            <w:tcW w:type="dxa" w:w="2541"/>
            <w:vAlign w:val="center"/>
          </w:tcPr>
          <w:p>
            <w:pPr>
              <w:spacing w:after="20"/>
            </w:pPr>
            <w:r/>
            <w:r>
              <w:rPr>
                <w:rFonts w:ascii="Calibri" w:hAnsi="Calibri"/>
                <w:b w:val="0"/>
                <w:sz w:val="16"/>
              </w:rPr>
              <w:t>Review cases from retrieval miss, context miss, evidence present, and source mismatch groups.</w:t>
            </w:r>
          </w:p>
        </w:tc>
        <w:tc>
          <w:tcPr>
            <w:tcW w:type="dxa" w:w="2541"/>
            <w:vAlign w:val="center"/>
          </w:tcPr>
          <w:p>
            <w:pPr>
              <w:spacing w:after="20"/>
            </w:pPr>
            <w:r/>
            <w:r>
              <w:rPr>
                <w:rFonts w:ascii="Calibri" w:hAnsi="Calibri"/>
                <w:b w:val="0"/>
                <w:sz w:val="16"/>
              </w:rPr>
              <w:t>Judge agreement and error patterns; do not use uncalibrated judge scores as truth.</w:t>
            </w:r>
          </w:p>
        </w:tc>
      </w:tr>
      <w:tr>
        <w:tc>
          <w:tcPr>
            <w:tcW w:type="dxa" w:w="2541"/>
            <w:vAlign w:val="center"/>
            <w:shd w:fill="EEF4F6"/>
          </w:tcPr>
          <w:p>
            <w:pPr>
              <w:spacing w:after="20"/>
            </w:pPr>
            <w:r/>
            <w:r>
              <w:rPr>
                <w:rFonts w:ascii="Calibri" w:hAnsi="Calibri"/>
                <w:b w:val="0"/>
                <w:sz w:val="16"/>
              </w:rPr>
              <w:t>6</w:t>
            </w:r>
          </w:p>
        </w:tc>
        <w:tc>
          <w:tcPr>
            <w:tcW w:type="dxa" w:w="2541"/>
            <w:vAlign w:val="center"/>
            <w:shd w:fill="EEF4F6"/>
          </w:tcPr>
          <w:p>
            <w:pPr>
              <w:spacing w:after="20"/>
            </w:pPr>
            <w:r/>
            <w:r>
              <w:rPr>
                <w:rFonts w:ascii="Calibri" w:hAnsi="Calibri"/>
                <w:b w:val="0"/>
                <w:sz w:val="16"/>
              </w:rPr>
              <w:t>Only then consider a reranker or graph/multi-hop path.</w:t>
            </w:r>
          </w:p>
        </w:tc>
        <w:tc>
          <w:tcPr>
            <w:tcW w:type="dxa" w:w="2541"/>
            <w:vAlign w:val="center"/>
            <w:shd w:fill="EEF4F6"/>
          </w:tcPr>
          <w:p>
            <w:pPr>
              <w:spacing w:after="20"/>
            </w:pPr>
            <w:r/>
            <w:r>
              <w:rPr>
                <w:rFonts w:ascii="Calibri" w:hAnsi="Calibri"/>
                <w:b w:val="0"/>
                <w:sz w:val="16"/>
              </w:rPr>
              <w:t>Evidence says a particular gap remains and labels/corpus relationships support it.</w:t>
            </w:r>
          </w:p>
        </w:tc>
        <w:tc>
          <w:tcPr>
            <w:tcW w:type="dxa" w:w="2541"/>
            <w:vAlign w:val="center"/>
            <w:shd w:fill="EEF4F6"/>
          </w:tcPr>
          <w:p>
            <w:pPr>
              <w:spacing w:after="20"/>
            </w:pPr>
            <w:r/>
            <w:r>
              <w:rPr>
                <w:rFonts w:ascii="Calibri" w:hAnsi="Calibri"/>
                <w:b w:val="0"/>
                <w:sz w:val="16"/>
              </w:rPr>
              <w:t>Controlled paired gain larger than run variance and worth latency/maintenance.</w:t>
            </w:r>
          </w:p>
        </w:tc>
      </w:tr>
    </w:tbl>
    <w:p>
      <w:pPr>
        <w:spacing w:after="20"/>
      </w:pPr>
    </w:p>
    <w:p>
      <w:pPr>
        <w:pStyle w:val="Heading2"/>
      </w:pPr>
      <w:r>
        <w:t>A lightweight interview answer: “what would you do next?”</w:t>
      </w:r>
    </w:p>
    <w:p>
      <w:r>
        <w:t>“I would first test BM25–embedding rank fusion at the passage stage, because BM25 currently wins the passage-only comparison but semantic signals may recover wording variants. I would freeze the candidate documents, token budget, expansion policy, generator and prompt, then compare span coverage, answer containment, paired answer metrics and latency. I would not expect document Recall@20 to change in that experiment because the document candidates are fixed. If the fusion does not improve answer-bearing context at equal cost, I would keep the simpler BM25 baseline.”</w:t>
      </w:r>
    </w:p>
    <w:p>
      <w:pPr>
        <w:pStyle w:val="Heading1"/>
      </w:pPr>
      <w:r>
        <w:t>11. Artifact map: where the work lives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04A"/>
          </w:tcPr>
          <w:p>
            <w:pPr>
              <w:spacing w:after="20"/>
            </w:pPr>
            <w:r/>
            <w:r>
              <w:rPr>
                <w:rFonts w:ascii="Calibri" w:hAnsi="Calibri"/>
                <w:b/>
                <w:color w:val="FFFFFF"/>
                <w:sz w:val="16"/>
              </w:rPr>
              <w:t>Purpose</w:t>
            </w:r>
          </w:p>
        </w:tc>
        <w:tc>
          <w:tcPr>
            <w:tcW w:type="dxa" w:w="5083"/>
            <w:vAlign w:val="center"/>
            <w:shd w:fill="12304A"/>
          </w:tcPr>
          <w:p>
            <w:pPr>
              <w:spacing w:after="20"/>
            </w:pPr>
            <w:r/>
            <w:r>
              <w:rPr>
                <w:rFonts w:ascii="Calibri" w:hAnsi="Calibri"/>
                <w:b/>
                <w:color w:val="FFFFFF"/>
                <w:sz w:val="16"/>
              </w:rPr>
              <w:t>Key repository artifacts</w:t>
            </w:r>
          </w:p>
        </w:tc>
      </w:tr>
      <w:tr>
        <w:tc>
          <w:tcPr>
            <w:tcW w:type="dxa" w:w="5083"/>
            <w:vAlign w:val="center"/>
          </w:tcPr>
          <w:p>
            <w:pPr>
              <w:spacing w:after="20"/>
            </w:pPr>
            <w:r/>
            <w:r>
              <w:rPr>
                <w:rFonts w:ascii="Calibri" w:hAnsi="Calibri"/>
                <w:b w:val="0"/>
                <w:sz w:val="16"/>
              </w:rPr>
              <w:t>Prior implementation comparison</w:t>
            </w:r>
          </w:p>
        </w:tc>
        <w:tc>
          <w:tcPr>
            <w:tcW w:type="dxa" w:w="5083"/>
            <w:vAlign w:val="center"/>
          </w:tcPr>
          <w:p>
            <w:pPr>
              <w:spacing w:after="20"/>
            </w:pPr>
            <w:r/>
            <w:r>
              <w:rPr>
                <w:rFonts w:ascii="Calibri" w:hAnsi="Calibri"/>
                <w:b w:val="0"/>
                <w:sz w:val="16"/>
              </w:rPr>
              <w:t>`reports/IBM_TechQA_Implementation_Comparison.docx`</w:t>
            </w:r>
          </w:p>
        </w:tc>
      </w:tr>
      <w:tr>
        <w:tc>
          <w:tcPr>
            <w:tcW w:type="dxa" w:w="5083"/>
            <w:vAlign w:val="center"/>
            <w:shd w:fill="EEF4F6"/>
          </w:tcPr>
          <w:p>
            <w:pPr>
              <w:spacing w:after="20"/>
            </w:pPr>
            <w:r/>
            <w:r>
              <w:rPr>
                <w:rFonts w:ascii="Calibri" w:hAnsi="Calibri"/>
                <w:b w:val="0"/>
                <w:sz w:val="16"/>
              </w:rPr>
              <w:t>Development progress log</w:t>
            </w:r>
          </w:p>
        </w:tc>
        <w:tc>
          <w:tcPr>
            <w:tcW w:type="dxa" w:w="5083"/>
            <w:vAlign w:val="center"/>
            <w:shd w:fill="EEF4F6"/>
          </w:tcPr>
          <w:p>
            <w:pPr>
              <w:spacing w:after="20"/>
            </w:pPr>
            <w:r/>
            <w:r>
              <w:rPr>
                <w:rFonts w:ascii="Calibri" w:hAnsi="Calibri"/>
                <w:b w:val="0"/>
                <w:sz w:val="16"/>
              </w:rPr>
              <w:t>`reports/implementation_progress.md`</w:t>
            </w:r>
          </w:p>
        </w:tc>
      </w:tr>
      <w:tr>
        <w:tc>
          <w:tcPr>
            <w:tcW w:type="dxa" w:w="5083"/>
            <w:vAlign w:val="center"/>
          </w:tcPr>
          <w:p>
            <w:pPr>
              <w:spacing w:after="20"/>
            </w:pPr>
            <w:r/>
            <w:r>
              <w:rPr>
                <w:rFonts w:ascii="Calibri" w:hAnsi="Calibri"/>
                <w:b w:val="0"/>
                <w:sz w:val="16"/>
              </w:rPr>
              <w:t>Failure attribution</w:t>
            </w:r>
          </w:p>
        </w:tc>
        <w:tc>
          <w:tcPr>
            <w:tcW w:type="dxa" w:w="5083"/>
            <w:vAlign w:val="center"/>
          </w:tcPr>
          <w:p>
            <w:pPr>
              <w:spacing w:after="20"/>
            </w:pPr>
            <w:r/>
            <w:r>
              <w:rPr>
                <w:rFonts w:ascii="Calibri" w:hAnsi="Calibri"/>
                <w:b w:val="0"/>
                <w:sz w:val="16"/>
              </w:rPr>
              <w:t>`results/evaluation/v2_failure_attribution_160.csv`; `v2_failure_attribution_160_summary.json`</w:t>
            </w:r>
          </w:p>
        </w:tc>
      </w:tr>
      <w:tr>
        <w:tc>
          <w:tcPr>
            <w:tcW w:type="dxa" w:w="5083"/>
            <w:vAlign w:val="center"/>
            <w:shd w:fill="EEF4F6"/>
          </w:tcPr>
          <w:p>
            <w:pPr>
              <w:spacing w:after="20"/>
            </w:pPr>
            <w:r/>
            <w:r>
              <w:rPr>
                <w:rFonts w:ascii="Calibri" w:hAnsi="Calibri"/>
                <w:b w:val="0"/>
                <w:sz w:val="16"/>
              </w:rPr>
              <w:t>Context selection/generation metrics</w:t>
            </w:r>
          </w:p>
        </w:tc>
        <w:tc>
          <w:tcPr>
            <w:tcW w:type="dxa" w:w="5083"/>
            <w:vAlign w:val="center"/>
            <w:shd w:fill="EEF4F6"/>
          </w:tcPr>
          <w:p>
            <w:pPr>
              <w:spacing w:after="20"/>
            </w:pPr>
            <w:r/>
            <w:r>
              <w:rPr>
                <w:rFonts w:ascii="Calibri" w:hAnsi="Calibri"/>
                <w:b w:val="0"/>
                <w:sz w:val="16"/>
              </w:rPr>
              <w:t>`results/evaluation/v2_context_ablation.json`; `results/generation/v2_bm25_context_generation.jsonl`</w:t>
            </w:r>
          </w:p>
        </w:tc>
      </w:tr>
      <w:tr>
        <w:tc>
          <w:tcPr>
            <w:tcW w:type="dxa" w:w="5083"/>
            <w:vAlign w:val="center"/>
          </w:tcPr>
          <w:p>
            <w:pPr>
              <w:spacing w:after="20"/>
            </w:pPr>
            <w:r/>
            <w:r>
              <w:rPr>
                <w:rFonts w:ascii="Calibri" w:hAnsi="Calibri"/>
                <w:b w:val="0"/>
                <w:sz w:val="16"/>
              </w:rPr>
              <w:t>Gemini outputs</w:t>
            </w:r>
          </w:p>
        </w:tc>
        <w:tc>
          <w:tcPr>
            <w:tcW w:type="dxa" w:w="5083"/>
            <w:vAlign w:val="center"/>
          </w:tcPr>
          <w:p>
            <w:pPr>
              <w:spacing w:after="20"/>
            </w:pPr>
            <w:r/>
            <w:r>
              <w:rPr>
                <w:rFonts w:ascii="Calibri" w:hAnsi="Calibri"/>
                <w:b w:val="0"/>
                <w:sz w:val="16"/>
              </w:rPr>
              <w:t>`results/generation/v2_bm25_context_generation_gemini_gemini-3.5-flash-lite.jsonl`</w:t>
            </w:r>
          </w:p>
        </w:tc>
      </w:tr>
      <w:tr>
        <w:tc>
          <w:tcPr>
            <w:tcW w:type="dxa" w:w="5083"/>
            <w:vAlign w:val="center"/>
            <w:shd w:fill="EEF4F6"/>
          </w:tcPr>
          <w:p>
            <w:pPr>
              <w:spacing w:after="20"/>
            </w:pPr>
            <w:r/>
            <w:r>
              <w:rPr>
                <w:rFonts w:ascii="Calibri" w:hAnsi="Calibri"/>
                <w:b w:val="0"/>
                <w:sz w:val="16"/>
              </w:rPr>
              <w:t>BERTScore evaluator/results</w:t>
            </w:r>
          </w:p>
        </w:tc>
        <w:tc>
          <w:tcPr>
            <w:tcW w:type="dxa" w:w="5083"/>
            <w:vAlign w:val="center"/>
            <w:shd w:fill="EEF4F6"/>
          </w:tcPr>
          <w:p>
            <w:pPr>
              <w:spacing w:after="20"/>
            </w:pPr>
            <w:r/>
            <w:r>
              <w:rPr>
                <w:rFonts w:ascii="Calibri" w:hAnsi="Calibri"/>
                <w:b w:val="0"/>
                <w:sz w:val="16"/>
              </w:rPr>
              <w:t>`src/techqa_rag/evaluation/evaluate_v2_bertscore.py`; BERTScore per-question and summary files under `results/evaluation/`</w:t>
            </w:r>
          </w:p>
        </w:tc>
      </w:tr>
      <w:tr>
        <w:tc>
          <w:tcPr>
            <w:tcW w:type="dxa" w:w="5083"/>
            <w:vAlign w:val="center"/>
          </w:tcPr>
          <w:p>
            <w:pPr>
              <w:spacing w:after="20"/>
            </w:pPr>
            <w:r/>
            <w:r>
              <w:rPr>
                <w:rFonts w:ascii="Calibri" w:hAnsi="Calibri"/>
                <w:b w:val="0"/>
                <w:sz w:val="16"/>
              </w:rPr>
              <w:t>Factuality evaluator/results</w:t>
            </w:r>
          </w:p>
        </w:tc>
        <w:tc>
          <w:tcPr>
            <w:tcW w:type="dxa" w:w="5083"/>
            <w:vAlign w:val="center"/>
          </w:tcPr>
          <w:p>
            <w:pPr>
              <w:spacing w:after="20"/>
            </w:pPr>
            <w:r/>
            <w:r>
              <w:rPr>
                <w:rFonts w:ascii="Calibri" w:hAnsi="Calibri"/>
                <w:b w:val="0"/>
                <w:sz w:val="16"/>
              </w:rPr>
              <w:t>`src/techqa_rag/evaluation/evaluate_v2_factuality.py`; `v2_factuality_gemini-3.5-flash-lite_{claims,answers,summary}.csv/json`; judgments JSONL</w:t>
            </w:r>
          </w:p>
        </w:tc>
      </w:tr>
      <w:tr>
        <w:tc>
          <w:tcPr>
            <w:tcW w:type="dxa" w:w="5083"/>
            <w:vAlign w:val="center"/>
            <w:shd w:fill="EEF4F6"/>
          </w:tcPr>
          <w:p>
            <w:pPr>
              <w:spacing w:after="20"/>
            </w:pPr>
            <w:r/>
            <w:r>
              <w:rPr>
                <w:rFonts w:ascii="Calibri" w:hAnsi="Calibri"/>
                <w:b w:val="0"/>
                <w:sz w:val="16"/>
              </w:rPr>
              <w:t>Manual review pilot</w:t>
            </w:r>
          </w:p>
        </w:tc>
        <w:tc>
          <w:tcPr>
            <w:tcW w:type="dxa" w:w="5083"/>
            <w:vAlign w:val="center"/>
            <w:shd w:fill="EEF4F6"/>
          </w:tcPr>
          <w:p>
            <w:pPr>
              <w:spacing w:after="20"/>
            </w:pPr>
            <w:r/>
            <w:r>
              <w:rPr>
                <w:rFonts w:ascii="Calibri" w:hAnsi="Calibri"/>
                <w:b w:val="0"/>
                <w:sz w:val="16"/>
              </w:rPr>
              <w:t>`results/evaluation/v2_manual_review.html`; `v2_independent_review_pilot.csv`; `v2_independent_review_pilot_summary.json`</w:t>
            </w:r>
          </w:p>
        </w:tc>
      </w:tr>
      <w:tr>
        <w:tc>
          <w:tcPr>
            <w:tcW w:type="dxa" w:w="5083"/>
            <w:vAlign w:val="center"/>
          </w:tcPr>
          <w:p>
            <w:pPr>
              <w:spacing w:after="20"/>
            </w:pPr>
            <w:r/>
            <w:r>
              <w:rPr>
                <w:rFonts w:ascii="Calibri" w:hAnsi="Calibri"/>
                <w:b w:val="0"/>
                <w:sz w:val="16"/>
              </w:rPr>
              <w:t>Oracle and span diagnostic</w:t>
            </w:r>
          </w:p>
        </w:tc>
        <w:tc>
          <w:tcPr>
            <w:tcW w:type="dxa" w:w="5083"/>
            <w:vAlign w:val="center"/>
          </w:tcPr>
          <w:p>
            <w:pPr>
              <w:spacing w:after="20"/>
            </w:pPr>
            <w:r/>
            <w:r>
              <w:rPr>
                <w:rFonts w:ascii="Calibri" w:hAnsi="Calibri"/>
                <w:b w:val="0"/>
                <w:sz w:val="16"/>
              </w:rPr>
              <w:t>`results/evaluation/v2_oracle_context_generation_summary.json`; `src/techqa_rag/evaluation/score_v2_generated_spans.py`</w:t>
            </w:r>
          </w:p>
        </w:tc>
      </w:tr>
      <w:tr>
        <w:tc>
          <w:tcPr>
            <w:tcW w:type="dxa" w:w="5083"/>
            <w:vAlign w:val="center"/>
            <w:shd w:fill="EEF4F6"/>
          </w:tcPr>
          <w:p>
            <w:pPr>
              <w:spacing w:after="20"/>
            </w:pPr>
            <w:r/>
            <w:r>
              <w:rPr>
                <w:rFonts w:ascii="Calibri" w:hAnsi="Calibri"/>
                <w:b w:val="0"/>
                <w:sz w:val="16"/>
              </w:rPr>
              <w:t>Generation runner and Gemini backend</w:t>
            </w:r>
          </w:p>
        </w:tc>
        <w:tc>
          <w:tcPr>
            <w:tcW w:type="dxa" w:w="5083"/>
            <w:vAlign w:val="center"/>
            <w:shd w:fill="EEF4F6"/>
          </w:tcPr>
          <w:p>
            <w:pPr>
              <w:spacing w:after="20"/>
            </w:pPr>
            <w:r/>
            <w:r>
              <w:rPr>
                <w:rFonts w:ascii="Calibri" w:hAnsi="Calibri"/>
                <w:b w:val="0"/>
                <w:sz w:val="16"/>
              </w:rPr>
              <w:t>`src/techqa_rag/evaluation/evaluate_v2_context_generation.py`; `src/techqa_rag/evaluation/gemini_backend.py`</w:t>
            </w:r>
          </w:p>
        </w:tc>
      </w:tr>
    </w:tbl>
    <w:p>
      <w:pPr>
        <w:spacing w:after="20"/>
      </w:pPr>
    </w:p>
    <w:p>
      <w:pPr>
        <w:pStyle w:val="Heading1"/>
      </w:pPr>
      <w:r>
        <w:t>12. Glossary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04A"/>
          </w:tcPr>
          <w:p>
            <w:pPr>
              <w:spacing w:after="20"/>
            </w:pPr>
            <w:r/>
            <w:r>
              <w:rPr>
                <w:rFonts w:ascii="Calibri" w:hAnsi="Calibri"/>
                <w:b/>
                <w:color w:val="FFFFFF"/>
                <w:sz w:val="16"/>
              </w:rPr>
              <w:t>Term</w:t>
            </w:r>
          </w:p>
        </w:tc>
        <w:tc>
          <w:tcPr>
            <w:tcW w:type="dxa" w:w="5083"/>
            <w:vAlign w:val="center"/>
            <w:shd w:fill="12304A"/>
          </w:tcPr>
          <w:p>
            <w:pPr>
              <w:spacing w:after="20"/>
            </w:pPr>
            <w:r/>
            <w:r>
              <w:rPr>
                <w:rFonts w:ascii="Calibri" w:hAnsi="Calibri"/>
                <w:b/>
                <w:color w:val="FFFFFF"/>
                <w:sz w:val="16"/>
              </w:rPr>
              <w:t>Plain-language definition</w:t>
            </w:r>
          </w:p>
        </w:tc>
      </w:tr>
      <w:tr>
        <w:tc>
          <w:tcPr>
            <w:tcW w:type="dxa" w:w="5083"/>
            <w:vAlign w:val="center"/>
          </w:tcPr>
          <w:p>
            <w:pPr>
              <w:spacing w:after="20"/>
            </w:pPr>
            <w:r/>
            <w:r>
              <w:rPr>
                <w:rFonts w:ascii="Calibri" w:hAnsi="Calibri"/>
                <w:b w:val="0"/>
                <w:sz w:val="16"/>
              </w:rPr>
              <w:t>Candidate set</w:t>
            </w:r>
          </w:p>
        </w:tc>
        <w:tc>
          <w:tcPr>
            <w:tcW w:type="dxa" w:w="5083"/>
            <w:vAlign w:val="center"/>
          </w:tcPr>
          <w:p>
            <w:pPr>
              <w:spacing w:after="20"/>
            </w:pPr>
            <w:r/>
            <w:r>
              <w:rPr>
                <w:rFonts w:ascii="Calibri" w:hAnsi="Calibri"/>
                <w:b w:val="0"/>
                <w:sz w:val="16"/>
              </w:rPr>
              <w:t>The initial group of documents/passages retrieval offers to later stages.</w:t>
            </w:r>
          </w:p>
        </w:tc>
      </w:tr>
      <w:tr>
        <w:tc>
          <w:tcPr>
            <w:tcW w:type="dxa" w:w="5083"/>
            <w:vAlign w:val="center"/>
            <w:shd w:fill="EEF4F6"/>
          </w:tcPr>
          <w:p>
            <w:pPr>
              <w:spacing w:after="20"/>
            </w:pPr>
            <w:r/>
            <w:r>
              <w:rPr>
                <w:rFonts w:ascii="Calibri" w:hAnsi="Calibri"/>
                <w:b w:val="0"/>
                <w:sz w:val="16"/>
              </w:rPr>
              <w:t>Gold document</w:t>
            </w:r>
          </w:p>
        </w:tc>
        <w:tc>
          <w:tcPr>
            <w:tcW w:type="dxa" w:w="5083"/>
            <w:vAlign w:val="center"/>
            <w:shd w:fill="EEF4F6"/>
          </w:tcPr>
          <w:p>
            <w:pPr>
              <w:spacing w:after="20"/>
            </w:pPr>
            <w:r/>
            <w:r>
              <w:rPr>
                <w:rFonts w:ascii="Calibri" w:hAnsi="Calibri"/>
                <w:b w:val="0"/>
                <w:sz w:val="16"/>
              </w:rPr>
              <w:t>The document labeled by the dataset as relevant for a question; a benchmark label, not known for arbitrary user questions.</w:t>
            </w:r>
          </w:p>
        </w:tc>
      </w:tr>
      <w:tr>
        <w:tc>
          <w:tcPr>
            <w:tcW w:type="dxa" w:w="5083"/>
            <w:vAlign w:val="center"/>
          </w:tcPr>
          <w:p>
            <w:pPr>
              <w:spacing w:after="20"/>
            </w:pPr>
            <w:r/>
            <w:r>
              <w:rPr>
                <w:rFonts w:ascii="Calibri" w:hAnsi="Calibri"/>
                <w:b w:val="0"/>
                <w:sz w:val="16"/>
              </w:rPr>
              <w:t>Answer span / offset</w:t>
            </w:r>
          </w:p>
        </w:tc>
        <w:tc>
          <w:tcPr>
            <w:tcW w:type="dxa" w:w="5083"/>
            <w:vAlign w:val="center"/>
          </w:tcPr>
          <w:p>
            <w:pPr>
              <w:spacing w:after="20"/>
            </w:pPr>
            <w:r/>
            <w:r>
              <w:rPr>
                <w:rFonts w:ascii="Calibri" w:hAnsi="Calibri"/>
                <w:b w:val="0"/>
                <w:sz w:val="16"/>
              </w:rPr>
              <w:t>Character start/end positions in the source text identifying the annotated answer passage.</w:t>
            </w:r>
          </w:p>
        </w:tc>
      </w:tr>
      <w:tr>
        <w:tc>
          <w:tcPr>
            <w:tcW w:type="dxa" w:w="5083"/>
            <w:vAlign w:val="center"/>
            <w:shd w:fill="EEF4F6"/>
          </w:tcPr>
          <w:p>
            <w:pPr>
              <w:spacing w:after="20"/>
            </w:pPr>
            <w:r/>
            <w:r>
              <w:rPr>
                <w:rFonts w:ascii="Calibri" w:hAnsi="Calibri"/>
                <w:b w:val="0"/>
                <w:sz w:val="16"/>
              </w:rPr>
              <w:t>Recall@20</w:t>
            </w:r>
          </w:p>
        </w:tc>
        <w:tc>
          <w:tcPr>
            <w:tcW w:type="dxa" w:w="5083"/>
            <w:vAlign w:val="center"/>
            <w:shd w:fill="EEF4F6"/>
          </w:tcPr>
          <w:p>
            <w:pPr>
              <w:spacing w:after="20"/>
            </w:pPr>
            <w:r/>
            <w:r>
              <w:rPr>
                <w:rFonts w:ascii="Calibri" w:hAnsi="Calibri"/>
                <w:b w:val="0"/>
                <w:sz w:val="16"/>
              </w:rPr>
              <w:t>Fraction of questions whose gold document appears among the first 20 candidates. It says nothing by itself about what the final model answers.</w:t>
            </w:r>
          </w:p>
        </w:tc>
      </w:tr>
      <w:tr>
        <w:tc>
          <w:tcPr>
            <w:tcW w:type="dxa" w:w="5083"/>
            <w:vAlign w:val="center"/>
          </w:tcPr>
          <w:p>
            <w:pPr>
              <w:spacing w:after="20"/>
            </w:pPr>
            <w:r/>
            <w:r>
              <w:rPr>
                <w:rFonts w:ascii="Calibri" w:hAnsi="Calibri"/>
                <w:b w:val="0"/>
                <w:sz w:val="16"/>
              </w:rPr>
              <w:t>Answer-span coverage</w:t>
            </w:r>
          </w:p>
        </w:tc>
        <w:tc>
          <w:tcPr>
            <w:tcW w:type="dxa" w:w="5083"/>
            <w:vAlign w:val="center"/>
          </w:tcPr>
          <w:p>
            <w:pPr>
              <w:spacing w:after="20"/>
            </w:pPr>
            <w:r/>
            <w:r>
              <w:rPr>
                <w:rFonts w:ascii="Calibri" w:hAnsi="Calibri"/>
                <w:b w:val="0"/>
                <w:sz w:val="16"/>
              </w:rPr>
              <w:t>Whether selected context includes the annotated source span (or the defined span union).</w:t>
            </w:r>
          </w:p>
        </w:tc>
      </w:tr>
      <w:tr>
        <w:tc>
          <w:tcPr>
            <w:tcW w:type="dxa" w:w="5083"/>
            <w:vAlign w:val="center"/>
            <w:shd w:fill="EEF4F6"/>
          </w:tcPr>
          <w:p>
            <w:pPr>
              <w:spacing w:after="20"/>
            </w:pPr>
            <w:r/>
            <w:r>
              <w:rPr>
                <w:rFonts w:ascii="Calibri" w:hAnsi="Calibri"/>
                <w:b w:val="0"/>
                <w:sz w:val="16"/>
              </w:rPr>
              <w:t>Reference containment</w:t>
            </w:r>
          </w:p>
        </w:tc>
        <w:tc>
          <w:tcPr>
            <w:tcW w:type="dxa" w:w="5083"/>
            <w:vAlign w:val="center"/>
            <w:shd w:fill="EEF4F6"/>
          </w:tcPr>
          <w:p>
            <w:pPr>
              <w:spacing w:after="20"/>
            </w:pPr>
            <w:r/>
            <w:r>
              <w:rPr>
                <w:rFonts w:ascii="Calibri" w:hAnsi="Calibri"/>
                <w:b w:val="0"/>
                <w:sz w:val="16"/>
              </w:rPr>
              <w:t>Whether a normalized reference-answer string appears in context; useful for exact evidence availability, but sensitive to annotation/wording mismatch.</w:t>
            </w:r>
          </w:p>
        </w:tc>
      </w:tr>
      <w:tr>
        <w:tc>
          <w:tcPr>
            <w:tcW w:type="dxa" w:w="5083"/>
            <w:vAlign w:val="center"/>
          </w:tcPr>
          <w:p>
            <w:pPr>
              <w:spacing w:after="20"/>
            </w:pPr>
            <w:r/>
            <w:r>
              <w:rPr>
                <w:rFonts w:ascii="Calibri" w:hAnsi="Calibri"/>
                <w:b w:val="0"/>
                <w:sz w:val="16"/>
              </w:rPr>
              <w:t>BM25</w:t>
            </w:r>
          </w:p>
        </w:tc>
        <w:tc>
          <w:tcPr>
            <w:tcW w:type="dxa" w:w="5083"/>
            <w:vAlign w:val="center"/>
          </w:tcPr>
          <w:p>
            <w:pPr>
              <w:spacing w:after="20"/>
            </w:pPr>
            <w:r/>
            <w:r>
              <w:rPr>
                <w:rFonts w:ascii="Calibri" w:hAnsi="Calibri"/>
                <w:b w:val="0"/>
                <w:sz w:val="16"/>
              </w:rPr>
              <w:t>A lexical search score based on query-term matches, with term frequency and document-length normalization. Often strong for exact technical strings.</w:t>
            </w:r>
          </w:p>
        </w:tc>
      </w:tr>
      <w:tr>
        <w:tc>
          <w:tcPr>
            <w:tcW w:type="dxa" w:w="5083"/>
            <w:vAlign w:val="center"/>
            <w:shd w:fill="EEF4F6"/>
          </w:tcPr>
          <w:p>
            <w:pPr>
              <w:spacing w:after="20"/>
            </w:pPr>
            <w:r/>
            <w:r>
              <w:rPr>
                <w:rFonts w:ascii="Calibri" w:hAnsi="Calibri"/>
                <w:b w:val="0"/>
                <w:sz w:val="16"/>
              </w:rPr>
              <w:t>Embedding retrieval</w:t>
            </w:r>
          </w:p>
        </w:tc>
        <w:tc>
          <w:tcPr>
            <w:tcW w:type="dxa" w:w="5083"/>
            <w:vAlign w:val="center"/>
            <w:shd w:fill="EEF4F6"/>
          </w:tcPr>
          <w:p>
            <w:pPr>
              <w:spacing w:after="20"/>
            </w:pPr>
            <w:r/>
            <w:r>
              <w:rPr>
                <w:rFonts w:ascii="Calibri" w:hAnsi="Calibri"/>
                <w:b w:val="0"/>
                <w:sz w:val="16"/>
              </w:rPr>
              <w:t>Search based on vector representations that put semantically similar text near each other, even with different wording.</w:t>
            </w:r>
          </w:p>
        </w:tc>
      </w:tr>
      <w:tr>
        <w:tc>
          <w:tcPr>
            <w:tcW w:type="dxa" w:w="5083"/>
            <w:vAlign w:val="center"/>
          </w:tcPr>
          <w:p>
            <w:pPr>
              <w:spacing w:after="20"/>
            </w:pPr>
            <w:r/>
            <w:r>
              <w:rPr>
                <w:rFonts w:ascii="Calibri" w:hAnsi="Calibri"/>
                <w:b w:val="0"/>
                <w:sz w:val="16"/>
              </w:rPr>
              <w:t>Cross-encoder reranker</w:t>
            </w:r>
          </w:p>
        </w:tc>
        <w:tc>
          <w:tcPr>
            <w:tcW w:type="dxa" w:w="5083"/>
            <w:vAlign w:val="center"/>
          </w:tcPr>
          <w:p>
            <w:pPr>
              <w:spacing w:after="20"/>
            </w:pPr>
            <w:r/>
            <w:r>
              <w:rPr>
                <w:rFonts w:ascii="Calibri" w:hAnsi="Calibri"/>
                <w:b w:val="0"/>
                <w:sz w:val="16"/>
              </w:rPr>
              <w:t>A model that reads a question and candidate passage together to score their relevance; it reorders retrieved items but cannot retrieve missing items.</w:t>
            </w:r>
          </w:p>
        </w:tc>
      </w:tr>
      <w:tr>
        <w:tc>
          <w:tcPr>
            <w:tcW w:type="dxa" w:w="5083"/>
            <w:vAlign w:val="center"/>
            <w:shd w:fill="EEF4F6"/>
          </w:tcPr>
          <w:p>
            <w:pPr>
              <w:spacing w:after="20"/>
            </w:pPr>
            <w:r/>
            <w:r>
              <w:rPr>
                <w:rFonts w:ascii="Calibri" w:hAnsi="Calibri"/>
                <w:b w:val="0"/>
                <w:sz w:val="16"/>
              </w:rPr>
              <w:t>RRF</w:t>
            </w:r>
          </w:p>
        </w:tc>
        <w:tc>
          <w:tcPr>
            <w:tcW w:type="dxa" w:w="5083"/>
            <w:vAlign w:val="center"/>
            <w:shd w:fill="EEF4F6"/>
          </w:tcPr>
          <w:p>
            <w:pPr>
              <w:spacing w:after="20"/>
            </w:pPr>
            <w:r/>
            <w:r>
              <w:rPr>
                <w:rFonts w:ascii="Calibri" w:hAnsi="Calibri"/>
                <w:b w:val="0"/>
                <w:sz w:val="16"/>
              </w:rPr>
              <w:t>Reciprocal Rank Fusion: a rank-only method for combining multiple result lists without requiring their raw scores to have the same scale.</w:t>
            </w:r>
          </w:p>
        </w:tc>
      </w:tr>
      <w:tr>
        <w:tc>
          <w:tcPr>
            <w:tcW w:type="dxa" w:w="5083"/>
            <w:vAlign w:val="center"/>
          </w:tcPr>
          <w:p>
            <w:pPr>
              <w:spacing w:after="20"/>
            </w:pPr>
            <w:r/>
            <w:r>
              <w:rPr>
                <w:rFonts w:ascii="Calibri" w:hAnsi="Calibri"/>
                <w:b w:val="0"/>
                <w:sz w:val="16"/>
              </w:rPr>
              <w:t>Oracle context</w:t>
            </w:r>
          </w:p>
        </w:tc>
        <w:tc>
          <w:tcPr>
            <w:tcW w:type="dxa" w:w="5083"/>
            <w:vAlign w:val="center"/>
          </w:tcPr>
          <w:p>
            <w:pPr>
              <w:spacing w:after="20"/>
            </w:pPr>
            <w:r/>
            <w:r>
              <w:rPr>
                <w:rFonts w:ascii="Calibri" w:hAnsi="Calibri"/>
                <w:b w:val="0"/>
                <w:sz w:val="16"/>
              </w:rPr>
              <w:t>Known relevant answer evidence supplied intentionally to isolate generation capability. It is not available as a normal inference input.</w:t>
            </w:r>
          </w:p>
        </w:tc>
      </w:tr>
      <w:tr>
        <w:tc>
          <w:tcPr>
            <w:tcW w:type="dxa" w:w="5083"/>
            <w:vAlign w:val="center"/>
            <w:shd w:fill="EEF4F6"/>
          </w:tcPr>
          <w:p>
            <w:pPr>
              <w:spacing w:after="20"/>
            </w:pPr>
            <w:r/>
            <w:r>
              <w:rPr>
                <w:rFonts w:ascii="Calibri" w:hAnsi="Calibri"/>
                <w:b w:val="0"/>
                <w:sz w:val="16"/>
              </w:rPr>
              <w:t>Paired difference</w:t>
            </w:r>
          </w:p>
        </w:tc>
        <w:tc>
          <w:tcPr>
            <w:tcW w:type="dxa" w:w="5083"/>
            <w:vAlign w:val="center"/>
            <w:shd w:fill="EEF4F6"/>
          </w:tcPr>
          <w:p>
            <w:pPr>
              <w:spacing w:after="20"/>
            </w:pPr>
            <w:r/>
            <w:r>
              <w:rPr>
                <w:rFonts w:ascii="Calibri" w:hAnsi="Calibri"/>
                <w:b w:val="0"/>
                <w:sz w:val="16"/>
              </w:rPr>
              <w:t>For each same question, subtract the plain-condition score from expanded; then summarize those per-question changes.</w:t>
            </w:r>
          </w:p>
        </w:tc>
      </w:tr>
      <w:tr>
        <w:tc>
          <w:tcPr>
            <w:tcW w:type="dxa" w:w="5083"/>
            <w:vAlign w:val="center"/>
          </w:tcPr>
          <w:p>
            <w:pPr>
              <w:spacing w:after="20"/>
            </w:pPr>
            <w:r/>
            <w:r>
              <w:rPr>
                <w:rFonts w:ascii="Calibri" w:hAnsi="Calibri"/>
                <w:b w:val="0"/>
                <w:sz w:val="16"/>
              </w:rPr>
              <w:t>Abstention</w:t>
            </w:r>
          </w:p>
        </w:tc>
        <w:tc>
          <w:tcPr>
            <w:tcW w:type="dxa" w:w="5083"/>
            <w:vAlign w:val="center"/>
          </w:tcPr>
          <w:p>
            <w:pPr>
              <w:spacing w:after="20"/>
            </w:pPr>
            <w:r/>
            <w:r>
              <w:rPr>
                <w:rFonts w:ascii="Calibri" w:hAnsi="Calibri"/>
                <w:b w:val="0"/>
                <w:sz w:val="16"/>
              </w:rPr>
              <w:t>The system says the available evidence is insufficient instead of guessing.</w:t>
            </w:r>
          </w:p>
        </w:tc>
      </w:tr>
    </w:tbl>
    <w:p>
      <w:pPr>
        <w:spacing w:after="20"/>
      </w:pPr>
    </w:p>
    <w:p>
      <w:pPr>
        <w:pStyle w:val="Heading1"/>
      </w:pPr>
      <w:r>
        <w:t>Selected references for future scope</w:t>
      </w:r>
    </w:p>
    <w:p>
      <w:r>
        <w:t>These references motivate methods discussed as possible future work. They do not imply those methods were implemented in this project or would improve this dataset without testing.</w:t>
      </w:r>
    </w:p>
    <w:p>
      <w:pPr>
        <w:pStyle w:val="ListBullet"/>
      </w:pPr>
      <w:r>
        <w:rPr>
          <w:color w:val="087E8B"/>
          <w:sz w:val="16"/>
        </w:rPr>
        <w:t>Cormack, Clarke &amp; Büttcher (2009), Reciprocal Rank Fusion — https://doi.org/10.1145/1571941.1572114</w:t>
      </w:r>
    </w:p>
    <w:p>
      <w:pPr>
        <w:pStyle w:val="ListBullet"/>
      </w:pPr>
      <w:r>
        <w:rPr>
          <w:color w:val="087E8B"/>
          <w:sz w:val="16"/>
        </w:rPr>
        <w:t>Wang, Yang &amp; Wei (2023), Query2doc: Query Expansion with Large Language Models — https://aclanthology.org/2023.emnlp-main.585/</w:t>
      </w:r>
    </w:p>
    <w:p>
      <w:pPr>
        <w:pStyle w:val="ListBullet"/>
      </w:pPr>
      <w:r>
        <w:rPr>
          <w:color w:val="087E8B"/>
          <w:sz w:val="16"/>
        </w:rPr>
        <w:t>Gao et al. (2023), Precise Zero-Shot Dense Retrieval without Relevance Labels (HyDE) — https://aclanthology.org/2023.acl-long.99/</w:t>
      </w:r>
    </w:p>
    <w:p>
      <w:pPr>
        <w:pStyle w:val="ListBullet"/>
      </w:pPr>
      <w:r>
        <w:rPr>
          <w:color w:val="087E8B"/>
          <w:sz w:val="16"/>
        </w:rPr>
        <w:t>BAAI BGE Reranker Base model card — https://huggingface.co/BAAI/bge-reranker-base</w:t>
      </w:r>
    </w:p>
    <w:p>
      <w:pPr>
        <w:pStyle w:val="ListBullet"/>
      </w:pPr>
      <w:r>
        <w:rPr>
          <w:color w:val="087E8B"/>
          <w:sz w:val="16"/>
        </w:rPr>
        <w:t>Sarthi et al. (2024), RAPTOR: Recursive Abstractive Processing for Tree-Organized Retrieval — https://proceedings.iclr.cc/paper_files/paper/2024/file/8a2acd174940dbca361a6398a4f9df91-Paper-Conference.pdf</w:t>
      </w:r>
    </w:p>
    <w:p>
      <w:pPr>
        <w:pStyle w:val="ListBullet"/>
      </w:pPr>
      <w:r>
        <w:rPr>
          <w:color w:val="087E8B"/>
          <w:sz w:val="16"/>
        </w:rPr>
        <w:t>Es et al. (2024), RAGAS: Automated Evaluation of Retrieval Augmented Generation — https://aclanthology.org/2024.eacl-demo.16/</w:t>
      </w:r>
    </w:p>
    <w:p>
      <w:pPr>
        <w:pStyle w:val="ListBullet"/>
      </w:pPr>
      <w:r>
        <w:rPr>
          <w:color w:val="087E8B"/>
          <w:sz w:val="16"/>
        </w:rPr>
        <w:t>Saad-Falcon et al. (2024), ARES: An Automated Evaluation Framework for RAG Systems — https://aclanthology.org/2024.naacl-long.20/</w:t>
      </w:r>
    </w:p>
    <w:p>
      <w:pPr>
        <w:pStyle w:val="Heading1"/>
      </w:pPr>
      <w:r>
        <w:t>Final perspective</w:t>
      </w:r>
    </w:p>
    <w:p>
      <w:r>
        <w:t>The most valuable outcome is not a claim that one model “scored X%.” It is that the project now distinguishes finding documents from finding answer-bearing evidence, measures what the context contains, tests what generation does with that evidence, and states uncertainty honestly. That is a strong foundation for explaining RAG engineering in Applied AI interviews—and a good point to close this learning project and move on.</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Manish Divate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87E8B"/>
      </w:rPr>
      <w:t>IBM TECHQA RAG  |  PROJECT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2832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Calibri" w:hAnsi="Calibri"/>
      <w:b/>
      <w:bCs/>
      <w:color w:val="1230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230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