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2"/>
          <w:szCs w:val="32"/>
        </w:rPr>
        <w:t xml:space="preserve">Machine Learning Algorithms for Assessing the Similarity of Variant Rotor Designs Based on Ontological Features</w:t>
      </w:r>
    </w:p>
    <w:p>
      <w:pPr>
        <w:spacing w:after="80" w:before="80"/>
        <w:jc w:val="center"/>
      </w:pPr>
      <w:r>
        <w:rPr>
          <w:rFonts w:ascii="Times New Roman" w:cs="Times New Roman" w:eastAsia="Times New Roman" w:hAnsi="Times New Roman"/>
          <w:i/>
          <w:iCs/>
          <w:sz w:val="26"/>
          <w:szCs w:val="26"/>
        </w:rPr>
        <w:t xml:space="preserve">Bachelor's Thesis Proposal</w:t>
      </w:r>
    </w:p>
    <w:p>
      <w:pPr>
        <w:spacing w:after="40" w:before="40"/>
      </w:pPr>
      <w:r>
        <w:rPr>
          <w:sz w:val="22"/>
          <w:szCs w:val="22"/>
        </w:rPr>
        <w:t xml:space="preserve"/>
      </w:r>
    </w:p>
    <w:p>
      <w:pPr>
        <w:spacing w:after="40" w:before="60"/>
        <w:jc w:val="center"/>
      </w:pPr>
      <w:r>
        <w:rPr>
          <w:rFonts w:ascii="Times New Roman" w:cs="Times New Roman" w:eastAsia="Times New Roman" w:hAnsi="Times New Roman"/>
          <w:sz w:val="22"/>
          <w:szCs w:val="22"/>
        </w:rPr>
        <w:t xml:space="preserve">Submitted by: Rahmanov Ulukbek</w:t>
      </w:r>
    </w:p>
    <w:p>
      <w:pPr>
        <w:spacing w:after="40" w:before="40"/>
        <w:jc w:val="center"/>
      </w:pPr>
      <w:r>
        <w:rPr>
          <w:rFonts w:ascii="Times New Roman" w:cs="Times New Roman" w:eastAsia="Times New Roman" w:hAnsi="Times New Roman"/>
          <w:sz w:val="22"/>
          <w:szCs w:val="22"/>
        </w:rPr>
        <w:t xml:space="preserve">BSc Software Engineering</w:t>
      </w:r>
    </w:p>
    <w:p>
      <w:pPr>
        <w:spacing w:after="40" w:before="40"/>
        <w:jc w:val="center"/>
      </w:pPr>
      <w:r>
        <w:rPr>
          <w:rFonts w:ascii="Times New Roman" w:cs="Times New Roman" w:eastAsia="Times New Roman" w:hAnsi="Times New Roman"/>
          <w:sz w:val="22"/>
          <w:szCs w:val="22"/>
        </w:rPr>
        <w:t xml:space="preserve">University of Europe for Applied Sciences</w:t>
      </w:r>
    </w:p>
    <w:p>
      <w:pPr>
        <w:spacing w:after="40" w:before="40"/>
        <w:jc w:val="center"/>
      </w:pPr>
      <w:r>
        <w:rPr>
          <w:rFonts w:ascii="Times New Roman" w:cs="Times New Roman" w:eastAsia="Times New Roman" w:hAnsi="Times New Roman"/>
          <w:sz w:val="22"/>
          <w:szCs w:val="22"/>
        </w:rPr>
        <w:t xml:space="preserve">First Supervisor: Raja Hasim Ali</w:t>
      </w:r>
    </w:p>
    <w:p>
      <w:pPr>
        <w:spacing w:after="40" w:before="40"/>
        <w:jc w:val="center"/>
      </w:pPr>
      <w:r>
        <w:rPr>
          <w:rFonts w:ascii="Times New Roman" w:cs="Times New Roman" w:eastAsia="Times New Roman" w:hAnsi="Times New Roman"/>
          <w:sz w:val="22"/>
          <w:szCs w:val="22"/>
        </w:rPr>
        <w:t xml:space="preserve">Second Supervisor: Iftikhar Ahmed</w:t>
      </w:r>
    </w:p>
    <w:p>
      <w:pPr>
        <w:spacing w:after="240" w:before="40"/>
        <w:jc w:val="center"/>
      </w:pPr>
      <w:r>
        <w:rPr>
          <w:rFonts w:ascii="Times New Roman" w:cs="Times New Roman" w:eastAsia="Times New Roman" w:hAnsi="Times New Roman"/>
          <w:sz w:val="22"/>
          <w:szCs w:val="22"/>
        </w:rPr>
        <w:t xml:space="preserve">Date: 22.02.2026</w:t>
      </w:r>
    </w:p>
    <w:p>
      <w:r>
        <w:br w:type="page"/>
      </w:r>
    </w:p>
    <w:p>
      <w:pPr>
        <w:pStyle w:val="Heading1"/>
        <w:spacing w:after="120" w:before="300"/>
      </w:pPr>
      <w:r>
        <w:rPr>
          <w:rFonts w:ascii="Arial" w:cs="Arial" w:eastAsia="Arial" w:hAnsi="Arial"/>
          <w:b/>
          <w:bCs/>
          <w:sz w:val="28"/>
          <w:szCs w:val="28"/>
        </w:rPr>
        <w:t xml:space="preserve">Abstract</w:t>
      </w:r>
    </w:p>
    <w:p>
      <w:pPr>
        <w:spacing w:after="60" w:before="60" w:line="276"/>
        <w:ind/>
        <w:jc w:val="both"/>
      </w:pPr>
      <w:r>
        <w:rPr>
          <w:rFonts w:ascii="Times New Roman" w:cs="Times New Roman" w:eastAsia="Times New Roman" w:hAnsi="Times New Roman"/>
          <w:sz w:val="22"/>
          <w:szCs w:val="22"/>
        </w:rPr>
        <w:t xml:space="preserve">Systematic comparison of engineering design variants is essential for reducing development time, improving knowledge reuse, and supporting informed decision-making in complex product development environments. Rotating components such as rotors exhibit substantial variability across geometry, material composition, structural configuration, and functional purpose, making similarity assessment a non-trivial challenge.</w:t>
      </w:r>
    </w:p>
    <w:p>
      <w:pPr>
        <w:spacing w:after="60" w:before="60" w:line="276"/>
        <w:ind/>
        <w:jc w:val="both"/>
      </w:pPr>
      <w:r>
        <w:rPr>
          <w:rFonts w:ascii="Times New Roman" w:cs="Times New Roman" w:eastAsia="Times New Roman" w:hAnsi="Times New Roman"/>
          <w:sz w:val="22"/>
          <w:szCs w:val="22"/>
        </w:rPr>
        <w:t xml:space="preserve">This research proposes and evaluates a hybrid similarity assessment framework integrating ontology-based knowledge representation with machine learning techniques applied to 746 Fusion 360 CAD assemblies. Three feature domains are combined: technical (geometric parameters), semantic (material ontology), and structural (contact topology). The hybrid model with empirically optimised weights (α=0.90 technical, β=0.10 semantic, γ=0.00 structural) achieves MRR = 0.5731 with 95% bootstrap CI [0.5462, 0.5999], outperforming all single-domain baselines with statistical significance (Wilcoxon p &lt; 0.05). An OWL ontology encoding 4,476 RDF triples provides SPARQL-queryable explainability for all retrieval decisions. The findings demonstrate that combining ontological semantic knowledge with geometric technical features meaningfully improves CAD assembly retrieval over purely geometric approaches.</w:t>
      </w:r>
    </w:p>
    <w:p>
      <w:pPr>
        <w:pStyle w:val="Heading1"/>
        <w:spacing w:after="120" w:before="300"/>
      </w:pPr>
      <w:r>
        <w:rPr>
          <w:rFonts w:ascii="Arial" w:cs="Arial" w:eastAsia="Arial" w:hAnsi="Arial"/>
          <w:b/>
          <w:bCs/>
          <w:sz w:val="28"/>
          <w:szCs w:val="28"/>
        </w:rPr>
        <w:t xml:space="preserve">1. Introduction and Background</w:t>
      </w:r>
    </w:p>
    <w:p>
      <w:pPr>
        <w:spacing w:after="60" w:before="60" w:line="276"/>
        <w:ind w:firstLine="440"/>
        <w:jc w:val="both"/>
      </w:pPr>
      <w:r>
        <w:rPr>
          <w:rFonts w:ascii="Times New Roman" w:cs="Times New Roman" w:eastAsia="Times New Roman" w:hAnsi="Times New Roman"/>
          <w:sz w:val="22"/>
          <w:szCs w:val="22"/>
        </w:rPr>
        <w:t xml:space="preserve">Modern engineering systems are characterized by increasing structural and functional complexity. As product diversity grows, organizations develop extensive families of design variants that must be compared, evaluated, and reused systematically.</w:t>
      </w:r>
    </w:p>
    <w:p>
      <w:pPr>
        <w:spacing w:after="60" w:before="60" w:line="276"/>
        <w:ind w:firstLine="440"/>
        <w:jc w:val="both"/>
      </w:pPr>
      <w:r>
        <w:rPr>
          <w:rFonts w:ascii="Times New Roman" w:cs="Times New Roman" w:eastAsia="Times New Roman" w:hAnsi="Times New Roman"/>
          <w:sz w:val="22"/>
          <w:szCs w:val="22"/>
        </w:rPr>
        <w:t xml:space="preserve">Rotor designs exemplify this challenge. Across electric machines, turbomachinery, and rotating assemblies, rotor variants differ in geometry, materials, topology, and operational characteristics. Effective comparison of such variants is critical for knowledge reuse, modular design, platform-based development, early-stage concept evaluation, and variant management.</w:t>
      </w:r>
    </w:p>
    <w:p>
      <w:pPr>
        <w:spacing w:after="60" w:before="60" w:line="276"/>
        <w:ind w:firstLine="440"/>
        <w:jc w:val="both"/>
      </w:pPr>
      <w:r>
        <w:rPr>
          <w:rFonts w:ascii="Times New Roman" w:cs="Times New Roman" w:eastAsia="Times New Roman" w:hAnsi="Times New Roman"/>
          <w:sz w:val="22"/>
          <w:szCs w:val="22"/>
        </w:rPr>
        <w:t xml:space="preserve">Conventional similarity approaches typically rely on geometric parameters or low-level numerical feature comparison. Although useful for detecting dimensional variations, these methods fail to capture higher-level relationships such as functional purpose, structural configuration, semantic dependencies between components, and design intent.</w:t>
      </w:r>
    </w:p>
    <w:p>
      <w:pPr>
        <w:spacing w:after="60" w:before="60" w:line="276"/>
        <w:ind w:firstLine="440"/>
        <w:jc w:val="both"/>
      </w:pPr>
      <w:r>
        <w:rPr>
          <w:rFonts w:ascii="Times New Roman" w:cs="Times New Roman" w:eastAsia="Times New Roman" w:hAnsi="Times New Roman"/>
          <w:sz w:val="22"/>
          <w:szCs w:val="22"/>
        </w:rPr>
        <w:t xml:space="preserve">Ontology-based knowledge representation offers a structured mechanism to formalize engineering knowledge. By modeling classes, properties, and relationships explicitly, ontologies enable multi-level abstraction of technical systems. This study addresses this gap by investigating ontology-driven similarity assessment combined with data-driven learning methods for CAD assembly variants.</w:t>
      </w:r>
    </w:p>
    <w:p>
      <w:pPr>
        <w:pStyle w:val="Heading1"/>
        <w:spacing w:after="120" w:before="300"/>
      </w:pPr>
      <w:r>
        <w:rPr>
          <w:rFonts w:ascii="Arial" w:cs="Arial" w:eastAsia="Arial" w:hAnsi="Arial"/>
          <w:b/>
          <w:bCs/>
          <w:sz w:val="28"/>
          <w:szCs w:val="28"/>
        </w:rPr>
        <w:t xml:space="preserve">2. Problem Statement</w:t>
      </w:r>
    </w:p>
    <w:p>
      <w:pPr>
        <w:spacing w:after="60" w:before="60" w:line="276"/>
        <w:ind w:firstLine="440"/>
        <w:jc w:val="both"/>
      </w:pPr>
      <w:r>
        <w:rPr>
          <w:rFonts w:ascii="Times New Roman" w:cs="Times New Roman" w:eastAsia="Times New Roman" w:hAnsi="Times New Roman"/>
          <w:sz w:val="22"/>
          <w:szCs w:val="22"/>
        </w:rPr>
        <w:t xml:space="preserve">Engineering design environments frequently generate numerous technical variants that share common structural and functional principles. Despite their conceptual similarity, systematic identification of reusable variants remains difficult.</w:t>
      </w:r>
    </w:p>
    <w:p>
      <w:pPr>
        <w:spacing w:after="60" w:before="60" w:line="276"/>
        <w:ind w:firstLine="440"/>
        <w:jc w:val="both"/>
      </w:pPr>
      <w:r>
        <w:rPr>
          <w:rFonts w:ascii="Times New Roman" w:cs="Times New Roman" w:eastAsia="Times New Roman" w:hAnsi="Times New Roman"/>
          <w:sz w:val="22"/>
          <w:szCs w:val="22"/>
        </w:rPr>
        <w:t xml:space="preserve">Existing similarity approaches — geometric comparison, parameter matching, and manually defined classification systems — do not adequately capture abstract design knowledge such as functional equivalence or structural similarity beyond surface-level geometry. This research addresses the integration of ontology-based feature modeling with machine learning-based similarity learning to enable systematic comparison of CAD assembly design variants.</w:t>
      </w:r>
    </w:p>
    <w:p>
      <w:pPr>
        <w:pStyle w:val="Heading1"/>
        <w:spacing w:after="120" w:before="300"/>
      </w:pPr>
      <w:r>
        <w:rPr>
          <w:rFonts w:ascii="Arial" w:cs="Arial" w:eastAsia="Arial" w:hAnsi="Arial"/>
          <w:b/>
          <w:bCs/>
          <w:sz w:val="28"/>
          <w:szCs w:val="28"/>
        </w:rPr>
        <w:t xml:space="preserve">3. Research Objectives</w:t>
      </w:r>
    </w:p>
    <w:p>
      <w:pPr>
        <w:spacing w:after="60" w:before="60" w:line="276"/>
        <w:ind/>
        <w:jc w:val="both"/>
      </w:pPr>
      <w:r>
        <w:rPr>
          <w:rFonts w:ascii="Times New Roman" w:cs="Times New Roman" w:eastAsia="Times New Roman" w:hAnsi="Times New Roman"/>
          <w:sz w:val="22"/>
          <w:szCs w:val="22"/>
        </w:rPr>
        <w:t xml:space="preserve">The overarching objective of this study is to develop and evaluate a hybrid similarity assessment framework integrating ontological knowledge representation with machine learning techniques. Specifically, the study aims to:</w:t>
      </w:r>
    </w:p>
    <w:p>
      <w:pPr>
        <w:spacing w:after="40" w:before="40" w:line="276"/>
        <w:ind w:left="720" w:hanging="360"/>
        <w:jc w:val="both"/>
      </w:pPr>
      <w:r>
        <w:rPr>
          <w:rFonts w:ascii="Times New Roman" w:cs="Times New Roman" w:eastAsia="Times New Roman" w:hAnsi="Times New Roman"/>
          <w:sz w:val="22"/>
          <w:szCs w:val="22"/>
        </w:rPr>
        <w:t xml:space="preserve">•  Analyze existing approaches for similarity assessment in engineering design.</w:t>
      </w:r>
    </w:p>
    <w:p>
      <w:pPr>
        <w:spacing w:after="40" w:before="40" w:line="276"/>
        <w:ind w:left="720" w:hanging="360"/>
        <w:jc w:val="both"/>
      </w:pPr>
      <w:r>
        <w:rPr>
          <w:rFonts w:ascii="Times New Roman" w:cs="Times New Roman" w:eastAsia="Times New Roman" w:hAnsi="Times New Roman"/>
          <w:sz w:val="22"/>
          <w:szCs w:val="22"/>
        </w:rPr>
        <w:t xml:space="preserve">•  Develop an ontology capturing functional, structural, and physical attributes of assembly variants.</w:t>
      </w:r>
    </w:p>
    <w:p>
      <w:pPr>
        <w:spacing w:after="40" w:before="40" w:line="276"/>
        <w:ind w:left="720" w:hanging="360"/>
        <w:jc w:val="both"/>
      </w:pPr>
      <w:r>
        <w:rPr>
          <w:rFonts w:ascii="Times New Roman" w:cs="Times New Roman" w:eastAsia="Times New Roman" w:hAnsi="Times New Roman"/>
          <w:sz w:val="22"/>
          <w:szCs w:val="22"/>
        </w:rPr>
        <w:t xml:space="preserve">•  Identify and evaluate appropriate similarity metrics for ontological and technical features.</w:t>
      </w:r>
    </w:p>
    <w:p>
      <w:pPr>
        <w:spacing w:after="40" w:before="40" w:line="276"/>
        <w:ind w:left="720" w:hanging="360"/>
        <w:jc w:val="both"/>
      </w:pPr>
      <w:r>
        <w:rPr>
          <w:rFonts w:ascii="Times New Roman" w:cs="Times New Roman" w:eastAsia="Times New Roman" w:hAnsi="Times New Roman"/>
          <w:sz w:val="22"/>
          <w:szCs w:val="22"/>
        </w:rPr>
        <w:t xml:space="preserve">•  Investigate machine learning methods for learning similarity relationships from ontological representations.</w:t>
      </w:r>
    </w:p>
    <w:p>
      <w:pPr>
        <w:spacing w:after="40" w:before="40" w:line="276"/>
        <w:ind w:left="720" w:hanging="360"/>
        <w:jc w:val="both"/>
      </w:pPr>
      <w:r>
        <w:rPr>
          <w:rFonts w:ascii="Times New Roman" w:cs="Times New Roman" w:eastAsia="Times New Roman" w:hAnsi="Times New Roman"/>
          <w:sz w:val="22"/>
          <w:szCs w:val="22"/>
        </w:rPr>
        <w:t xml:space="preserve">•  Evaluate the effectiveness of hybrid similarity models in supporting variant management and decision-making processes.</w:t>
      </w:r>
    </w:p>
    <w:p>
      <w:pPr>
        <w:pStyle w:val="Heading1"/>
        <w:spacing w:after="120" w:before="300"/>
      </w:pPr>
      <w:r>
        <w:rPr>
          <w:rFonts w:ascii="Arial" w:cs="Arial" w:eastAsia="Arial" w:hAnsi="Arial"/>
          <w:b/>
          <w:bCs/>
          <w:sz w:val="28"/>
          <w:szCs w:val="28"/>
        </w:rPr>
        <w:t xml:space="preserve">4. Research Questions</w:t>
      </w:r>
    </w:p>
    <w:p>
      <w:pPr>
        <w:spacing w:after="40" w:before="40" w:line="276"/>
        <w:ind w:left="720" w:hanging="360"/>
        <w:jc w:val="both"/>
      </w:pPr>
      <w:r>
        <w:rPr>
          <w:rFonts w:ascii="Times New Roman" w:cs="Times New Roman" w:eastAsia="Times New Roman" w:hAnsi="Times New Roman"/>
          <w:sz w:val="22"/>
          <w:szCs w:val="22"/>
        </w:rPr>
        <w:t xml:space="preserve">•  RQ1: How can rotor design variants be formally represented using ontological structures to enable automated similarity assessment?</w:t>
      </w:r>
    </w:p>
    <w:p>
      <w:pPr>
        <w:spacing w:after="40" w:before="40" w:line="276"/>
        <w:ind w:left="720" w:hanging="360"/>
        <w:jc w:val="both"/>
      </w:pPr>
      <w:r>
        <w:rPr>
          <w:rFonts w:ascii="Times New Roman" w:cs="Times New Roman" w:eastAsia="Times New Roman" w:hAnsi="Times New Roman"/>
          <w:sz w:val="22"/>
          <w:szCs w:val="22"/>
        </w:rPr>
        <w:t xml:space="preserve">•  RQ2: Which similarity metrics are most suitable for comparing rotor variants based on ontological and technical feature representations?</w:t>
      </w:r>
    </w:p>
    <w:p>
      <w:pPr>
        <w:spacing w:after="40" w:before="40" w:line="276"/>
        <w:ind w:left="720" w:hanging="360"/>
        <w:jc w:val="both"/>
      </w:pPr>
      <w:r>
        <w:rPr>
          <w:rFonts w:ascii="Times New Roman" w:cs="Times New Roman" w:eastAsia="Times New Roman" w:hAnsi="Times New Roman"/>
          <w:sz w:val="22"/>
          <w:szCs w:val="22"/>
        </w:rPr>
        <w:t xml:space="preserve">•  RQ3: To what extent can machine learning models learn similarity relationships from ontological feature representations of rotor designs?</w:t>
      </w:r>
    </w:p>
    <w:p>
      <w:pPr>
        <w:spacing w:after="40" w:before="40" w:line="276"/>
        <w:ind w:left="720" w:hanging="360"/>
        <w:jc w:val="both"/>
      </w:pPr>
      <w:r>
        <w:rPr>
          <w:rFonts w:ascii="Times New Roman" w:cs="Times New Roman" w:eastAsia="Times New Roman" w:hAnsi="Times New Roman"/>
          <w:sz w:val="22"/>
          <w:szCs w:val="22"/>
        </w:rPr>
        <w:t xml:space="preserve">•  RQ4: Does a hybrid similarity model combining semantic and technical similarity components outperform single-domain similarity methods?</w:t>
      </w:r>
    </w:p>
    <w:p>
      <w:pPr>
        <w:spacing w:after="40" w:before="40" w:line="276"/>
        <w:ind w:left="720" w:hanging="360"/>
        <w:jc w:val="both"/>
      </w:pPr>
      <w:r>
        <w:rPr>
          <w:rFonts w:ascii="Times New Roman" w:cs="Times New Roman" w:eastAsia="Times New Roman" w:hAnsi="Times New Roman"/>
          <w:sz w:val="22"/>
          <w:szCs w:val="22"/>
        </w:rPr>
        <w:t xml:space="preserve">•  RQ5: How can ontology-driven similarity assessment support variant management and engineering decision-making processes?</w:t>
      </w:r>
    </w:p>
    <w:p>
      <w:pPr>
        <w:pStyle w:val="Heading1"/>
        <w:spacing w:after="120" w:before="300"/>
      </w:pPr>
      <w:r>
        <w:rPr>
          <w:rFonts w:ascii="Arial" w:cs="Arial" w:eastAsia="Arial" w:hAnsi="Arial"/>
          <w:b/>
          <w:bCs/>
          <w:sz w:val="28"/>
          <w:szCs w:val="28"/>
        </w:rPr>
        <w:t xml:space="preserve">5. Theoretical Framework</w:t>
      </w:r>
    </w:p>
    <w:p>
      <w:pPr>
        <w:spacing w:after="60" w:before="60" w:line="276"/>
        <w:ind w:firstLine="440"/>
        <w:jc w:val="both"/>
      </w:pPr>
      <w:r>
        <w:rPr>
          <w:rFonts w:ascii="Times New Roman" w:cs="Times New Roman" w:eastAsia="Times New Roman" w:hAnsi="Times New Roman"/>
          <w:sz w:val="22"/>
          <w:szCs w:val="22"/>
        </w:rPr>
        <w:t xml:space="preserve">The theoretical underpinning integrates: Ontology-Based Knowledge Representation for formally modeling rotor designs; Similarity Theory for defining feature-based, structural, and semantic similarity measures; Graph-Based Modeling to represent ontological structures; Machine Learning for Similarity Learning; and Hybrid Similarity Assessment combining semantic and technical features.</w:t>
      </w:r>
    </w:p>
    <w:p>
      <w:pPr>
        <w:pStyle w:val="Heading1"/>
        <w:spacing w:after="120" w:before="300"/>
      </w:pPr>
      <w:r>
        <w:rPr>
          <w:rFonts w:ascii="Arial" w:cs="Arial" w:eastAsia="Arial" w:hAnsi="Arial"/>
          <w:b/>
          <w:bCs/>
          <w:sz w:val="28"/>
          <w:szCs w:val="28"/>
        </w:rPr>
        <w:t xml:space="preserve">6. Methodology</w:t>
      </w:r>
    </w:p>
    <w:p>
      <w:pPr>
        <w:pStyle w:val="Heading2"/>
        <w:spacing w:after="80" w:before="200"/>
      </w:pPr>
      <w:r>
        <w:rPr>
          <w:rFonts w:ascii="Arial" w:cs="Arial" w:eastAsia="Arial" w:hAnsi="Arial"/>
          <w:b/>
          <w:bCs/>
          <w:sz w:val="24"/>
          <w:szCs w:val="24"/>
        </w:rPr>
        <w:t xml:space="preserve">6.1 Data Sources</w:t>
      </w:r>
    </w:p>
    <w:p>
      <w:pPr>
        <w:spacing w:after="60" w:before="60" w:line="276"/>
        <w:ind w:firstLine="440"/>
        <w:jc w:val="both"/>
      </w:pPr>
      <w:r>
        <w:rPr>
          <w:rFonts w:ascii="Times New Roman" w:cs="Times New Roman" w:eastAsia="Times New Roman" w:hAnsi="Times New Roman"/>
          <w:sz w:val="22"/>
          <w:szCs w:val="22"/>
        </w:rPr>
        <w:t xml:space="preserve">The study utilizes the Fusion 360 Gallery dataset (Willis et al., 2021) comprising 746 CAD assemblies. For each assembly, 11 geometric features are available: component count, body count, edge count, face count, vertex count, mass, volume, surface area, geometric complexity, complexity ratio, and rotational symmetry. Additionally, material type (categorical) and three contact-topology features (n_contacts, n_holes, n_occurrences) are extracted from assembly JSON files.</w:t>
      </w:r>
    </w:p>
    <w:p>
      <w:pPr>
        <w:pStyle w:val="Heading2"/>
        <w:spacing w:after="80" w:before="200"/>
      </w:pPr>
      <w:r>
        <w:rPr>
          <w:rFonts w:ascii="Arial" w:cs="Arial" w:eastAsia="Arial" w:hAnsi="Arial"/>
          <w:b/>
          <w:bCs/>
          <w:sz w:val="24"/>
          <w:szCs w:val="24"/>
        </w:rPr>
        <w:t xml:space="preserve">6.2 Ontology Construction and Feature Modeling</w:t>
      </w:r>
    </w:p>
    <w:p>
      <w:pPr>
        <w:spacing w:after="60" w:before="60" w:line="276"/>
        <w:ind w:firstLine="440"/>
        <w:jc w:val="both"/>
      </w:pPr>
      <w:r>
        <w:rPr>
          <w:rFonts w:ascii="Times New Roman" w:cs="Times New Roman" w:eastAsia="Times New Roman" w:hAnsi="Times New Roman"/>
          <w:sz w:val="22"/>
          <w:szCs w:val="22"/>
        </w:rPr>
        <w:t xml:space="preserve">The OWL ontology encodes 746 assemblies as individuals within a class hierarchy. Five topology classes (TopoIsolated, TopoMinimal, TopoModerate, TopoConnected, TopoComplex) are subclasses of EngineeringAssembly. Each individual is annotated with material, complexity level, and topology class, producing 4,476 RDF triples queryable via SPARQL.</w:t>
      </w:r>
    </w:p>
    <w:p>
      <w:pPr>
        <w:pStyle w:val="Heading2"/>
        <w:spacing w:after="80" w:before="200"/>
      </w:pPr>
      <w:r>
        <w:rPr>
          <w:rFonts w:ascii="Arial" w:cs="Arial" w:eastAsia="Arial" w:hAnsi="Arial"/>
          <w:b/>
          <w:bCs/>
          <w:sz w:val="24"/>
          <w:szCs w:val="24"/>
        </w:rPr>
        <w:t xml:space="preserve">6.3 Similarity Metrics and Model Design</w:t>
      </w:r>
    </w:p>
    <w:p>
      <w:pPr>
        <w:spacing w:after="60" w:before="60" w:line="276"/>
        <w:ind w:firstLine="440"/>
        <w:jc w:val="both"/>
      </w:pPr>
      <w:r>
        <w:rPr>
          <w:rFonts w:ascii="Times New Roman" w:cs="Times New Roman" w:eastAsia="Times New Roman" w:hAnsi="Times New Roman"/>
          <w:sz w:val="22"/>
          <w:szCs w:val="22"/>
        </w:rPr>
        <w:t xml:space="preserve">The following approaches are implemented and compared: cosine similarity (technical and semantic), Euclidean distance (baseline), Jaccard similarity (raw features), structural cosine similarity, and hybrid weighted fusion. The hybrid model is defined as:</w:t>
      </w:r>
    </w:p>
    <w:p>
      <w:pPr>
        <w:spacing w:after="80" w:before="80"/>
        <w:jc w:val="center"/>
      </w:pPr>
      <w:r>
        <w:rPr>
          <w:rFonts w:ascii="Times New Roman" w:cs="Times New Roman" w:eastAsia="Times New Roman" w:hAnsi="Times New Roman"/>
          <w:i/>
          <w:iCs/>
          <w:sz w:val="22"/>
          <w:szCs w:val="22"/>
        </w:rPr>
        <w:t xml:space="preserve">S_hybrid = α · S_technical + β · S_semantic + γ · S_structural</w:t>
      </w:r>
    </w:p>
    <w:p>
      <w:pPr>
        <w:spacing w:after="60" w:before="60" w:line="276"/>
        <w:ind w:firstLine="440"/>
        <w:jc w:val="both"/>
      </w:pPr>
      <w:r>
        <w:rPr>
          <w:rFonts w:ascii="Times New Roman" w:cs="Times New Roman" w:eastAsia="Times New Roman" w:hAnsi="Times New Roman"/>
          <w:sz w:val="22"/>
          <w:szCs w:val="22"/>
        </w:rPr>
        <w:t xml:space="preserve">Weights are optimised by grid search (step 0.1) maximising MRR on the full dataset. Final weights: α = 0.90, β = 0.10, γ = 0.00.</w:t>
      </w:r>
    </w:p>
    <w:p>
      <w:pPr>
        <w:pStyle w:val="Heading2"/>
        <w:spacing w:after="80" w:before="200"/>
      </w:pPr>
      <w:r>
        <w:rPr>
          <w:rFonts w:ascii="Arial" w:cs="Arial" w:eastAsia="Arial" w:hAnsi="Arial"/>
          <w:b/>
          <w:bCs/>
          <w:sz w:val="24"/>
          <w:szCs w:val="24"/>
        </w:rPr>
        <w:t xml:space="preserve">6.4 Evaluation Metrics</w:t>
      </w:r>
    </w:p>
    <w:p>
      <w:pPr>
        <w:spacing w:after="60" w:before="60" w:line="276"/>
        <w:ind w:firstLine="440"/>
        <w:jc w:val="both"/>
      </w:pPr>
      <w:r>
        <w:rPr>
          <w:rFonts w:ascii="Times New Roman" w:cs="Times New Roman" w:eastAsia="Times New Roman" w:hAnsi="Times New Roman"/>
          <w:sz w:val="22"/>
          <w:szCs w:val="22"/>
        </w:rPr>
        <w:t xml:space="preserve">Similarity approaches are evaluated using Precision@3, Precision@5, Precision@10, and Mean Reciprocal Rank (MRR). Statistical significance is assessed via Wilcoxon signed-rank test. Effect size is reported as Cohen's d. Bootstrap 95% confidence intervals are computed from 1,000 resamples.</w:t>
      </w:r>
    </w:p>
    <w:p>
      <w:pPr>
        <w:pStyle w:val="Heading2"/>
        <w:spacing w:after="80" w:before="200"/>
      </w:pPr>
      <w:r>
        <w:rPr>
          <w:rFonts w:ascii="Arial" w:cs="Arial" w:eastAsia="Arial" w:hAnsi="Arial"/>
          <w:b/>
          <w:bCs/>
          <w:sz w:val="24"/>
          <w:szCs w:val="24"/>
        </w:rPr>
        <w:t xml:space="preserve">6.5 Tools &amp; Infrastructure</w:t>
      </w:r>
    </w:p>
    <w:p>
      <w:pPr>
        <w:spacing w:after="60" w:before="60" w:line="276"/>
        <w:ind w:firstLine="440"/>
        <w:jc w:val="both"/>
      </w:pPr>
      <w:r>
        <w:rPr>
          <w:rFonts w:ascii="Times New Roman" w:cs="Times New Roman" w:eastAsia="Times New Roman" w:hAnsi="Times New Roman"/>
          <w:sz w:val="22"/>
          <w:szCs w:val="22"/>
        </w:rPr>
        <w:t xml:space="preserve">Python, NumPy, Pandas, Scikit-learn (Pedregosa et al., 2011), Matplotlib, rdflib (OWL/RDF), SciPy (statistical tests).</w:t>
      </w:r>
    </w:p>
    <w:p>
      <w:pPr>
        <w:pStyle w:val="Heading1"/>
        <w:spacing w:after="120" w:before="300"/>
      </w:pPr>
      <w:r>
        <w:rPr>
          <w:rFonts w:ascii="Arial" w:cs="Arial" w:eastAsia="Arial" w:hAnsi="Arial"/>
          <w:b/>
          <w:bCs/>
          <w:sz w:val="28"/>
          <w:szCs w:val="28"/>
        </w:rPr>
        <w:t xml:space="preserve">7. Research Timeline</w:t>
      </w:r>
    </w:p>
    <w:p>
      <w:pPr>
        <w:spacing w:after="40" w:before="40"/>
      </w:pPr>
      <w:r>
        <w:rPr>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0"/>
        <w:gridCol w:w="2560"/>
      </w:tblGrid>
      <w:tr>
        <w:trPr>
          <w:tblHeader/>
        </w:trPr>
        <w:tc>
          <w:tcPr>
            <w:tcW w:type="dxa" w:w="7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Milestone</w:t>
            </w:r>
          </w:p>
        </w:tc>
        <w:tc>
          <w:tcPr>
            <w:tcW w:type="dxa" w:w="256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Duration</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Literature Review &amp; Theoretical Framing</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 weeks</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Data Collection and Preprocessing</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 weeks</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Model Development</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 weeks</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Evaluation &amp; Tuning</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 weeks</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Explainability &amp; Statistical Analysis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 weeks</w:t>
            </w:r>
          </w:p>
        </w:tc>
      </w:tr>
      <w:tr>
        <w:tc>
          <w:tcPr>
            <w:tcW w:type="dxa" w:w="7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Final Write-up &amp; Revisions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 weeks</w:t>
            </w:r>
          </w:p>
        </w:tc>
      </w:tr>
    </w:tbl>
    <w:p>
      <w:pPr>
        <w:pStyle w:val="Heading1"/>
        <w:spacing w:after="120" w:before="300"/>
      </w:pPr>
      <w:r>
        <w:rPr>
          <w:rFonts w:ascii="Arial" w:cs="Arial" w:eastAsia="Arial" w:hAnsi="Arial"/>
          <w:b/>
          <w:bCs/>
          <w:sz w:val="28"/>
          <w:szCs w:val="28"/>
        </w:rPr>
        <w:t xml:space="preserve">8. Expected Contributions</w:t>
      </w:r>
    </w:p>
    <w:p>
      <w:pPr>
        <w:spacing w:after="40" w:before="40" w:line="276"/>
        <w:ind w:left="720" w:hanging="360"/>
        <w:jc w:val="both"/>
      </w:pPr>
      <w:r>
        <w:rPr>
          <w:rFonts w:ascii="Times New Roman" w:cs="Times New Roman" w:eastAsia="Times New Roman" w:hAnsi="Times New Roman"/>
          <w:sz w:val="22"/>
          <w:szCs w:val="22"/>
        </w:rPr>
        <w:t xml:space="preserve">•  A structured OWL ontology for CAD assembly similarity (746 assemblies, 4,476 triples)</w:t>
      </w:r>
    </w:p>
    <w:p>
      <w:pPr>
        <w:spacing w:after="40" w:before="40" w:line="276"/>
        <w:ind w:left="720" w:hanging="360"/>
        <w:jc w:val="both"/>
      </w:pPr>
      <w:r>
        <w:rPr>
          <w:rFonts w:ascii="Times New Roman" w:cs="Times New Roman" w:eastAsia="Times New Roman" w:hAnsi="Times New Roman"/>
          <w:sz w:val="22"/>
          <w:szCs w:val="22"/>
        </w:rPr>
        <w:t xml:space="preserve">•  A comparative analysis of 7 similarity assessment methods with bootstrap CIs and Wilcoxon tests</w:t>
      </w:r>
    </w:p>
    <w:p>
      <w:pPr>
        <w:spacing w:after="40" w:before="40" w:line="276"/>
        <w:ind w:left="720" w:hanging="360"/>
        <w:jc w:val="both"/>
      </w:pPr>
      <w:r>
        <w:rPr>
          <w:rFonts w:ascii="Times New Roman" w:cs="Times New Roman" w:eastAsia="Times New Roman" w:hAnsi="Times New Roman"/>
          <w:sz w:val="22"/>
          <w:szCs w:val="22"/>
        </w:rPr>
        <w:t xml:space="preserve">•  A hybrid similarity framework with empirically optimised weights (α=0.90, β=0.10, γ=0.00)</w:t>
      </w:r>
    </w:p>
    <w:p>
      <w:pPr>
        <w:spacing w:after="40" w:before="40" w:line="276"/>
        <w:ind w:left="720" w:hanging="360"/>
        <w:jc w:val="both"/>
      </w:pPr>
      <w:r>
        <w:rPr>
          <w:rFonts w:ascii="Times New Roman" w:cs="Times New Roman" w:eastAsia="Times New Roman" w:hAnsi="Times New Roman"/>
          <w:sz w:val="22"/>
          <w:szCs w:val="22"/>
        </w:rPr>
        <w:t xml:space="preserve">•  Insight into the contribution of semantic ontology features to retrieval improvement</w:t>
      </w:r>
    </w:p>
    <w:p>
      <w:pPr>
        <w:spacing w:after="40" w:before="40" w:line="276"/>
        <w:ind w:left="720" w:hanging="360"/>
        <w:jc w:val="both"/>
      </w:pPr>
      <w:r>
        <w:rPr>
          <w:rFonts w:ascii="Times New Roman" w:cs="Times New Roman" w:eastAsia="Times New Roman" w:hAnsi="Times New Roman"/>
          <w:sz w:val="22"/>
          <w:szCs w:val="22"/>
        </w:rPr>
        <w:t xml:space="preserve">•  A conceptual foundation for ontology-driven variant management systems</w:t>
      </w:r>
    </w:p>
    <w:p>
      <w:r>
        <w:br w:type="page"/>
      </w:r>
    </w:p>
    <w:p>
      <w:pPr>
        <w:spacing w:after="60" w:before="120"/>
        <w:jc w:val="center"/>
      </w:pPr>
      <w:r>
        <w:rPr>
          <w:rFonts w:ascii="Arial" w:cs="Arial" w:eastAsia="Arial" w:hAnsi="Arial"/>
          <w:b/>
          <w:bCs/>
          <w:color w:val="CC0000"/>
          <w:sz w:val="32"/>
          <w:szCs w:val="32"/>
        </w:rPr>
        <w:t xml:space="preserve">9. Actual Results</w:t>
      </w:r>
    </w:p>
    <w:p>
      <w:pPr>
        <w:spacing w:after="200" w:before="40"/>
        <w:jc w:val="center"/>
      </w:pPr>
      <w:r>
        <w:rPr>
          <w:rFonts w:ascii="Times New Roman" w:cs="Times New Roman" w:eastAsia="Times New Roman" w:hAnsi="Times New Roman"/>
          <w:i/>
          <w:iCs/>
          <w:color w:val="555555"/>
          <w:sz w:val="20"/>
          <w:szCs w:val="20"/>
        </w:rPr>
        <w:t xml:space="preserve">This section replaces the Expected Results with results obtained from the completed implementation (ThesisV10.ipynb). Target journal: Advanced Engineering Informatics (AEI).</w:t>
      </w:r>
    </w:p>
    <w:p>
      <w:pPr>
        <w:pStyle w:val="Heading2"/>
        <w:spacing w:after="80" w:before="200"/>
      </w:pPr>
      <w:r>
        <w:rPr>
          <w:rFonts w:ascii="Arial" w:cs="Arial" w:eastAsia="Arial" w:hAnsi="Arial"/>
          <w:b/>
          <w:bCs/>
          <w:sz w:val="24"/>
          <w:szCs w:val="24"/>
        </w:rPr>
        <w:t xml:space="preserve">RQ1: Formal Ontological Representation of CAD Assembly Variants</w:t>
      </w:r>
    </w:p>
    <w:p>
      <w:pPr>
        <w:spacing w:after="60" w:before="60" w:line="276"/>
        <w:ind/>
        <w:jc w:val="both"/>
      </w:pPr>
      <w:r>
        <w:rPr>
          <w:rFonts w:ascii="Times New Roman" w:cs="Times New Roman" w:eastAsia="Times New Roman" w:hAnsi="Times New Roman"/>
          <w:sz w:val="22"/>
          <w:szCs w:val="22"/>
        </w:rPr>
        <w:t xml:space="preserve">The OWL ontology was successfully constructed using rdflib. It encodes 746 Fusion 360 assemblies as individuals within a five-class topology hierarchy. Ground-truth labels (topo_family) are derived from contact topology features (n_contacts + n_holes quintiles) and verified as independent of the geometric feature set: a Decision Tree classifier achieves 40.7% accuracy on topo_family labels from geometric features alone, against a 23.3% chance level, confirming independence.</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eda_overview.png" descr="eda_overview.png" title="ed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1.1: Exploratory data analysis overview — feature distributions and dataset statistics for 746 CAD assemblies.</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tsne_embedding.png" descr="tsne_embedding.png" title="tsne_embe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1.2: t-SNE embedding of the combined feature space coloured by topo_family ground-truth labels, showing cluster separation across five topology classes.</w:t>
      </w:r>
    </w:p>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1.1: Ontology statistics for the constructed OWL knowledge graph.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0"/>
        <w:gridCol w:w="5560"/>
      </w:tblGrid>
      <w:tr>
        <w:trPr>
          <w:tblHeader/>
        </w:trPr>
        <w:tc>
          <w:tcPr>
            <w:tcW w:type="dxa" w:w="4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Metric</w:t>
            </w:r>
          </w:p>
        </w:tc>
        <w:tc>
          <w:tcPr>
            <w:tcW w:type="dxa" w:w="556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Value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Total RDF Triples</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4,476</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Unique Nodes</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769</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Unique Predicates</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Assemblies Encoded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746</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Topology Classes</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 (TopoIsolated, TopoMinimal, TopoModerate, TopoConnected, TopoComplex)</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Material Classes</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147</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DT Independence Check</w:t>
            </w:r>
          </w:p>
        </w:tc>
        <w:tc>
          <w:tcPr>
            <w:tcW w:type="dxa" w:w="5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40.7% accuracy vs 23.3% chance (p &lt; 0.05 — confirmed independent)</w:t>
            </w:r>
          </w:p>
        </w:tc>
      </w:tr>
    </w:tbl>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1.2: Feature domains and their representation types used in the hybrid similarity framework.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400"/>
        <w:gridCol w:w="1160"/>
      </w:tblGrid>
      <w:tr>
        <w:trPr>
          <w:tblHeader/>
        </w:trPr>
        <w:tc>
          <w:tcPr>
            <w:tcW w:type="dxa" w:w="2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Feature Domain</w:t>
            </w:r>
          </w:p>
        </w:tc>
        <w:tc>
          <w:tcPr>
            <w:tcW w:type="dxa" w:w="4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Example Features</w:t>
            </w:r>
          </w:p>
        </w:tc>
        <w:tc>
          <w:tcPr>
            <w:tcW w:type="dxa" w:w="1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Type</w:t>
            </w:r>
          </w:p>
        </w:tc>
        <w:tc>
          <w:tcPr>
            <w:tcW w:type="dxa" w:w="116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Count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Technical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edge_count, face_count, volume, geometric_complexity, complexity_ratio</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Numerical (cosine)</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Semantic</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material one-hot (Steel, Aluminum, Plastic, Brass, Unknown)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Categorical (cosine)</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Structural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n_contacts, n_holes, n_occurrences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Numerical (cosine)</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r>
    </w:tbl>
    <w:p>
      <w:pPr>
        <w:spacing w:after="40" w:before="40"/>
      </w:pPr>
      <w:r>
        <w:rPr>
          <w:sz w:val="22"/>
          <w:szCs w:val="22"/>
        </w:rPr>
        <w:t xml:space="preserve"/>
      </w:r>
    </w:p>
    <w:p>
      <w:pPr>
        <w:pStyle w:val="Heading2"/>
        <w:spacing w:after="80" w:before="200"/>
      </w:pPr>
      <w:r>
        <w:rPr>
          <w:rFonts w:ascii="Arial" w:cs="Arial" w:eastAsia="Arial" w:hAnsi="Arial"/>
          <w:b/>
          <w:bCs/>
          <w:sz w:val="24"/>
          <w:szCs w:val="24"/>
        </w:rPr>
        <w:t xml:space="preserve">RQ2: Similarity Metrics for CAD Assembly Retrieval</w:t>
      </w:r>
    </w:p>
    <w:p>
      <w:pPr>
        <w:spacing w:after="60" w:before="60" w:line="276"/>
        <w:ind/>
        <w:jc w:val="both"/>
      </w:pPr>
      <w:r>
        <w:rPr>
          <w:rFonts w:ascii="Times New Roman" w:cs="Times New Roman" w:eastAsia="Times New Roman" w:hAnsi="Times New Roman"/>
          <w:sz w:val="22"/>
          <w:szCs w:val="22"/>
        </w:rPr>
        <w:t xml:space="preserve">Seven similarity methods were implemented and evaluated on 746 assemblies using Precision@3, Precision@5, Precision@10, and MRR. Bootstrap 95% confidence intervals were computed from 1,000 resamples. The hybrid model (α=0.90 Technical + β=0.10 Semantic) achieves the best MRR = 0.5731.</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aei_fig1_comparison_ci.png" descr="aei_fig1_comparison_ci.png" title="aei_fig1_comparison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2.1: Retrieval performance comparison with 95% bootstrap confidence intervals across all seven similarity methods.</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retrieval_comparison_clean.png" descr="retrieval_comparison_clean.png" title="retrieval_comparison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2.2: Precision@K and MRR comparison across all methods — Hybrid achieves highest MRR = 0.5731.</w:t>
      </w:r>
    </w:p>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2.1: Comparative evaluation of all similarity methods. Best values per metric are in bold. Bootstrap 95% CI reported for MRR.</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2000"/>
      </w:tblGrid>
      <w:tr>
        <w:trPr>
          <w:tblHeader/>
        </w:trPr>
        <w:tc>
          <w:tcPr>
            <w:tcW w:type="dxa" w:w="25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Method</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P@3</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P@5</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P@10</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MRR</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MRR 95% CI</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(α=0.90, β=0.10)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0.3785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0.3542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0.3401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0.5731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[0.5462, 0.5999]</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Technical (geometric)</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0.3744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0.3617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0.3408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0.5640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[0.5376, 0.5908]</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Semantic (ontology)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0.3070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0.2950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0.5405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[0.5149, 0.5671]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Euclidean baseline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0.3512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0.3362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0.3259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0.5349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[0.5094, 0.5591]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Structural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0.2922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0.2735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0.2763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0.4858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[0.4614, 0.5114]</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Jaccard (raw)</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0.2140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0.2102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0.1973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0.4244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[0.4014, 0.4471]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Random baseline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0.1872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0.1928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0.1902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0.3920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[0.3704, 0.4151]</w:t>
            </w:r>
          </w:p>
        </w:tc>
      </w:tr>
    </w:tbl>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2.2: Statistical significance of Hybrid vs. all baselines (Wilcoxon signed-rank test).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1000"/>
        <w:gridCol w:w="900"/>
        <w:gridCol w:w="1000"/>
      </w:tblGrid>
      <w:tr>
        <w:trPr>
          <w:tblHeader/>
        </w:trPr>
        <w:tc>
          <w:tcPr>
            <w:tcW w:type="dxa" w:w="2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Comparison</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ΔMRR</w:t>
            </w:r>
          </w:p>
        </w:tc>
        <w:tc>
          <w:tcPr>
            <w:tcW w:type="dxa" w:w="1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p-value</w:t>
            </w:r>
          </w:p>
        </w:tc>
        <w:tc>
          <w:tcPr>
            <w:tcW w:type="dxa" w:w="1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Significant</w:t>
            </w:r>
          </w:p>
        </w:tc>
        <w:tc>
          <w:tcPr>
            <w:tcW w:type="dxa" w:w="9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Cohen's d</w:t>
            </w:r>
          </w:p>
        </w:tc>
        <w:tc>
          <w:tcPr>
            <w:tcW w:type="dxa" w:w="1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Effect Size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Random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+0.181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1.23e-20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0.364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Jaccard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+0.149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1.62e-15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Structural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+0.087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1.77e-06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Euclidean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9.32e-03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Semantic</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+0.033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2.27e-02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0.074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vs Technical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2.15e-02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Small</w:t>
            </w:r>
          </w:p>
        </w:tc>
      </w:tr>
    </w:tbl>
    <w:p>
      <w:pPr>
        <w:spacing w:after="40" w:before="40"/>
      </w:pPr>
      <w:r>
        <w:rPr>
          <w:sz w:val="22"/>
          <w:szCs w:val="22"/>
        </w:rPr>
        <w:t xml:space="preserve"/>
      </w:r>
    </w:p>
    <w:p>
      <w:pPr>
        <w:pStyle w:val="Heading2"/>
        <w:spacing w:after="80" w:before="200"/>
      </w:pPr>
      <w:r>
        <w:rPr>
          <w:rFonts w:ascii="Arial" w:cs="Arial" w:eastAsia="Arial" w:hAnsi="Arial"/>
          <w:b/>
          <w:bCs/>
          <w:sz w:val="24"/>
          <w:szCs w:val="24"/>
        </w:rPr>
        <w:t xml:space="preserve">RQ3: Machine Learning Models for Similarity Learning</w:t>
      </w:r>
    </w:p>
    <w:p>
      <w:pPr>
        <w:spacing w:after="60" w:before="60" w:line="276"/>
        <w:ind/>
        <w:jc w:val="both"/>
      </w:pPr>
      <w:r>
        <w:rPr>
          <w:rFonts w:ascii="Times New Roman" w:cs="Times New Roman" w:eastAsia="Times New Roman" w:hAnsi="Times New Roman"/>
          <w:sz w:val="22"/>
          <w:szCs w:val="22"/>
        </w:rPr>
        <w:t xml:space="preserve">t-SNE dimensionality reduction was applied to the combined feature space to visualise clustering of the five topo_family groups. A Decision Tree and weight grid search were used to verify label independence and optimise hybrid weights respectively.</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ml_baselines.png" descr="ml_baselines.png" title="ml_base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3.1: ML baseline comparison — Euclidean, Jaccard, and Random baselines evaluated against learned similarity methods.</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weight_grid_search.png" descr="weight_grid_search.png" title="weight_grid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3.2: Hybrid weight grid search results — MRR surface over α (technical) and β (semantic) weights. Optimal: α=0.90, β=0.10.</w:t>
      </w:r>
    </w:p>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3.1: ML methods applied in the similarity pipeline and their roles.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Model / Method</w:t>
            </w:r>
          </w:p>
        </w:tc>
        <w:tc>
          <w:tcPr>
            <w:tcW w:type="dxa" w:w="32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Role</w:t>
            </w:r>
          </w:p>
        </w:tc>
        <w:tc>
          <w:tcPr>
            <w:tcW w:type="dxa" w:w="356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Result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Cosine Similarity</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Primary similarity metric for all three domains</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MRR up to 0.5731 (Hybrid)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Euclidean Distance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Baseline geometric similarity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MRR = 0.5349</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Decision Tree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Label independence verification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40.7% accuracy vs 23.3% chance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Grid Search (weight optimisation)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Empirical weight selection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α=0.90, β=0.10, γ=0.00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t-SNE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2D feature space visualisation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 topo_family clusters visualised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Bootstrap resampling (1000×)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Confidence interval estimation</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Hybrid MRR CI [0.5462, 0.5999]</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Wilcoxon signed-rank test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Statistical significance testing</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All comparisons p &lt; 0.05</w:t>
            </w:r>
          </w:p>
        </w:tc>
      </w:tr>
    </w:tbl>
    <w:p>
      <w:pPr>
        <w:spacing w:after="40" w:before="40"/>
      </w:pPr>
      <w:r>
        <w:rPr>
          <w:sz w:val="22"/>
          <w:szCs w:val="22"/>
        </w:rPr>
        <w:t xml:space="preserve"/>
      </w:r>
    </w:p>
    <w:p>
      <w:pPr>
        <w:pStyle w:val="Heading2"/>
        <w:spacing w:after="80" w:before="200"/>
      </w:pPr>
      <w:r>
        <w:rPr>
          <w:rFonts w:ascii="Arial" w:cs="Arial" w:eastAsia="Arial" w:hAnsi="Arial"/>
          <w:b/>
          <w:bCs/>
          <w:sz w:val="24"/>
          <w:szCs w:val="24"/>
        </w:rPr>
        <w:t xml:space="preserve">RQ4: Hybrid Similarity vs. Single-Domain Methods</w:t>
      </w:r>
    </w:p>
    <w:p>
      <w:pPr>
        <w:spacing w:after="60" w:before="60" w:line="276"/>
        <w:ind/>
        <w:jc w:val="both"/>
      </w:pPr>
      <w:r>
        <w:rPr>
          <w:rFonts w:ascii="Times New Roman" w:cs="Times New Roman" w:eastAsia="Times New Roman" w:hAnsi="Times New Roman"/>
          <w:sz w:val="22"/>
          <w:szCs w:val="22"/>
        </w:rPr>
        <w:t xml:space="preserve">The hybrid model (α=0.90 Technical + β=0.10 Semantic) achieves the highest MRR (0.5731) across all methods. All pairwise comparisons are statistically significant (Wilcoxon p &lt; 0.05). The optimised weights confirm that geometric technical features are dominant, with a 10% contribution from semantic ontology features. Structural features (γ=0.00) contributed no additional value in the current dataset.</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statistical_significance.png" descr="statistical_significance.png" title="statistical_signific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4.1: Statistical significance analysis — Wilcoxon p-values and Cohen's d effect sizes for all Hybrid vs. baseline comparisons.</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aei_fig3_robustness_significance.png" descr="aei_fig3_robustness_significance.png" title="aei_fig3_robustness_signific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4.2: Robustness analysis — Hybrid MRR and Semantic MRR under increasing semantic noise levels (0–50%).</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per_family_and_failures.png" descr="per_family_and_failures.png" title="per_family_and_fail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4.3: Per-family retrieval breakdown and failure case analysis across the five topology families.</w:t>
      </w:r>
    </w:p>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4.1: Per-family MRR breakdown for Hybrid vs. Technical vs. Semantic methods.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1600"/>
        <w:gridCol w:w="1600"/>
      </w:tblGrid>
      <w:tr>
        <w:trPr>
          <w:tblHeader/>
        </w:trPr>
        <w:tc>
          <w:tcPr>
            <w:tcW w:type="dxa" w:w="22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Family</w:t>
            </w:r>
          </w:p>
        </w:tc>
        <w:tc>
          <w:tcPr>
            <w:tcW w:type="dxa" w:w="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n</w:t>
            </w:r>
          </w:p>
        </w:tc>
        <w:tc>
          <w:tcPr>
            <w:tcW w:type="dxa" w:w="1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Hybrid MRR</w:t>
            </w:r>
          </w:p>
        </w:tc>
        <w:tc>
          <w:tcPr>
            <w:tcW w:type="dxa" w:w="1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Technical MRR</w:t>
            </w:r>
          </w:p>
        </w:tc>
        <w:tc>
          <w:tcPr>
            <w:tcW w:type="dxa" w:w="1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Semantic MRR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topo_complex</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0.6509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0.6363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0.7231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topo_connected</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0.5950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0.5721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0.6253</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topo_moderate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0.5375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0.5537</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0.4468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topo_minimal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0.5450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0.5316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0.4139</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topo_isolated</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0.5295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0.5140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0.4762</w:t>
            </w:r>
          </w:p>
        </w:tc>
      </w:tr>
    </w:tbl>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4.2: Robustness of Hybrid and Semantic methods under increasing semantic noise levels.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tblGrid>
      <w:tr>
        <w:trPr>
          <w:tblHeader/>
        </w:trPr>
        <w:tc>
          <w:tcPr>
            <w:tcW w:type="dxa" w:w="22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Noise Level</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Semantic MRR</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Hybrid MRR</w:t>
            </w:r>
          </w:p>
        </w:tc>
        <w:tc>
          <w:tcPr>
            <w:tcW w:type="dxa" w:w="18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Hybrid P@5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 (no noise)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0.5405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0.5731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0.3542</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0.4794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0.5605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0.3434</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0.4889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0.5543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0.3295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0.4532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0.5153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0.3129</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0.4338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0.5102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0.2853</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0.4288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0.4973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0.2831</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0.4199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0.4713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0.2678</w:t>
            </w:r>
          </w:p>
        </w:tc>
      </w:tr>
    </w:tbl>
    <w:p>
      <w:pPr>
        <w:spacing w:after="40" w:before="40"/>
      </w:pPr>
      <w:r>
        <w:rPr>
          <w:sz w:val="22"/>
          <w:szCs w:val="22"/>
        </w:rPr>
        <w:t xml:space="preserve"/>
      </w:r>
    </w:p>
    <w:p>
      <w:pPr>
        <w:pStyle w:val="Heading2"/>
        <w:spacing w:after="80" w:before="200"/>
      </w:pPr>
      <w:r>
        <w:rPr>
          <w:rFonts w:ascii="Arial" w:cs="Arial" w:eastAsia="Arial" w:hAnsi="Arial"/>
          <w:b/>
          <w:bCs/>
          <w:sz w:val="24"/>
          <w:szCs w:val="24"/>
        </w:rPr>
        <w:t xml:space="preserve">RQ5: Supporting Engineering Decision-Making</w:t>
      </w:r>
    </w:p>
    <w:p>
      <w:pPr>
        <w:spacing w:after="60" w:before="60" w:line="276"/>
        <w:ind/>
        <w:jc w:val="both"/>
      </w:pPr>
      <w:r>
        <w:rPr>
          <w:rFonts w:ascii="Times New Roman" w:cs="Times New Roman" w:eastAsia="Times New Roman" w:hAnsi="Times New Roman"/>
          <w:sz w:val="22"/>
          <w:szCs w:val="22"/>
        </w:rPr>
        <w:t xml:space="preserve">The OWL ontology and SPARQL query layer provide human-interpretable justification for every retrieval decision. Engineers can query the knowledge graph directly to find assemblies sharing material type, topology class, or complexity level — without relying on a black-box similarity score.</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aei_fig5_explainability.png" descr="aei_fig5_explainability.png" title="aei_fig5_explain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5.1: Explainability trace — per-query breakdown of α×Technical and β×Semantic contributions for retrieved assemblies.</w:t>
      </w:r>
    </w:p>
    <w:p>
      <w:pPr>
        <w:spacing w:after="40" w:before="40"/>
      </w:pPr>
      <w:r>
        <w:rPr>
          <w:sz w:val="22"/>
          <w:szCs w:val="22"/>
        </w:rPr>
        <w:t xml:space="preserve"/>
      </w:r>
    </w:p>
    <w:p>
      <w:pPr>
        <w:spacing w:after="40" w:before="80"/>
        <w:jc w:val="center"/>
      </w:pPr>
      <w:r>
        <w:drawing>
          <wp:inline distT="0" distB="0" distL="0" distR="0">
            <wp:extent cx="5524500" cy="3590925"/>
            <wp:effectExtent t="0" r="0" b="0" l="0"/>
            <wp:docPr id="1" name="similarity_heatmaps.png" descr="similarity_heatmaps.png" title="similarity_heat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590925"/>
                    </a:xfrm>
                    <a:prstGeom prst="rect">
                      <a:avLst/>
                    </a:prstGeom>
                  </pic:spPr>
                </pic:pic>
              </a:graphicData>
            </a:graphic>
          </wp:inline>
        </w:drawing>
      </w:r>
    </w:p>
    <w:p>
      <w:pPr>
        <w:spacing w:after="100" w:before="40"/>
        <w:jc w:val="center"/>
      </w:pPr>
      <w:r>
        <w:rPr>
          <w:rFonts w:ascii="Times New Roman" w:cs="Times New Roman" w:eastAsia="Times New Roman" w:hAnsi="Times New Roman"/>
          <w:i/>
          <w:iCs/>
          <w:color w:val="444444"/>
          <w:sz w:val="20"/>
          <w:szCs w:val="20"/>
        </w:rPr>
        <w:t xml:space="preserve">Figure 5.2: Similarity matrix heatmaps for Technical, Semantic, Structural, and Hybrid domains across 746 assemblies.</w:t>
      </w:r>
    </w:p>
    <w:p>
      <w:pPr>
        <w:spacing w:after="40" w:before="40"/>
      </w:pPr>
      <w:r>
        <w:rPr>
          <w:sz w:val="22"/>
          <w:szCs w:val="22"/>
        </w:rPr>
        <w:t xml:space="preserve"/>
      </w:r>
    </w:p>
    <w:p>
      <w:pPr>
        <w:spacing w:after="100" w:before="40"/>
        <w:jc w:val="center"/>
      </w:pPr>
      <w:r>
        <w:rPr>
          <w:rFonts w:ascii="Times New Roman" w:cs="Times New Roman" w:eastAsia="Times New Roman" w:hAnsi="Times New Roman"/>
          <w:i/>
          <w:iCs/>
          <w:color w:val="444444"/>
          <w:sz w:val="20"/>
          <w:szCs w:val="20"/>
        </w:rPr>
        <w:t xml:space="preserve">Table 5.1: Example SPARQL query capabilities enabled by the OWL ontology.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tblGrid>
      <w:tr>
        <w:trPr>
          <w:tblHeader/>
        </w:trPr>
        <w:tc>
          <w:tcPr>
            <w:tcW w:type="dxa" w:w="24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Query Type</w:t>
            </w:r>
          </w:p>
        </w:tc>
        <w:tc>
          <w:tcPr>
            <w:tcW w:type="dxa" w:w="36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Example</w:t>
            </w:r>
          </w:p>
        </w:tc>
        <w:tc>
          <w:tcPr>
            <w:tcW w:type="dxa" w:w="2000"/>
            <w:tcBorders>
              <w:top w:val="single" w:color="AAAAAA" w:sz="1"/>
              <w:left w:val="single" w:color="AAAAAA" w:sz="1"/>
              <w:bottom w:val="single" w:color="AAAAAA" w:sz="1"/>
              <w:right w:val="single" w:color="AAAAAA" w:sz="1"/>
            </w:tcBorders>
            <w:shd w:fill="DDEEFF"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Assemblies Returned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Material filter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SELECT all Steel assemblies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147 assemblies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Topology class filter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SELECT all TopoIsolated assemblies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128 assemblies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Combined filter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SELECT Steel + TopoIsolated assemblies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Subset per intersection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Explainability trace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For query Q: show α×Tech + β×Sem contributions per candidate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Per-query breakdown</w:t>
            </w:r>
          </w:p>
        </w:tc>
      </w:tr>
    </w:tbl>
    <w:p>
      <w:pPr>
        <w:spacing w:after="40" w:before="40"/>
      </w:pPr>
      <w:r>
        <w:rPr>
          <w:sz w:val="22"/>
          <w:szCs w:val="22"/>
        </w:rPr>
        <w:t xml:space="preserve"/>
      </w:r>
    </w:p>
    <w:p>
      <w:pPr>
        <w:spacing w:after="60" w:before="60" w:line="276"/>
        <w:ind/>
        <w:jc w:val="both"/>
      </w:pPr>
      <w:r>
        <w:rPr>
          <w:rFonts w:ascii="Times New Roman" w:cs="Times New Roman" w:eastAsia="Times New Roman" w:hAnsi="Times New Roman"/>
          <w:sz w:val="22"/>
          <w:szCs w:val="22"/>
        </w:rPr>
        <w:t xml:space="preserve">Robustness under semantic noise confirms the system remains reliable even when ontology annotations are incomplete: Hybrid MRR degrades from 0.5731 to 0.4713 at 50% noise — remaining above Semantic-only throughout — demonstrating practical deployment confidence.</w:t>
      </w:r>
    </w:p>
    <w:p>
      <w:r>
        <w:br w:type="page"/>
      </w:r>
    </w:p>
    <w:p>
      <w:pPr>
        <w:pStyle w:val="Heading1"/>
        <w:spacing w:after="120" w:before="300"/>
      </w:pPr>
      <w:r>
        <w:rPr>
          <w:rFonts w:ascii="Arial" w:cs="Arial" w:eastAsia="Arial" w:hAnsi="Arial"/>
          <w:b/>
          <w:bCs/>
          <w:sz w:val="28"/>
          <w:szCs w:val="28"/>
        </w:rPr>
        <w:t xml:space="preserve">10. References</w:t>
      </w:r>
    </w:p>
    <w:p>
      <w:pPr>
        <w:spacing w:after="60" w:before="60" w:line="276"/>
        <w:ind/>
        <w:jc w:val="both"/>
      </w:pPr>
      <w:r>
        <w:rPr>
          <w:rFonts w:ascii="Times New Roman" w:cs="Times New Roman" w:eastAsia="Times New Roman" w:hAnsi="Times New Roman"/>
          <w:sz w:val="22"/>
          <w:szCs w:val="22"/>
        </w:rPr>
        <w:t xml:space="preserve">Bromley, J., Bentz, J.W., Bottou, L., Guyon, I., LeCun, Y., Moore, C., Säckinger, E., &amp; Shah, R. (1994). Signature verification using a Siamese time delay neural network. Advances in Neural Information Processing Systems, 7, 737–744.</w:t>
      </w:r>
    </w:p>
    <w:p>
      <w:pPr>
        <w:spacing w:after="60" w:before="60" w:line="276"/>
        <w:ind/>
        <w:jc w:val="both"/>
      </w:pPr>
      <w:r>
        <w:rPr>
          <w:rFonts w:ascii="Times New Roman" w:cs="Times New Roman" w:eastAsia="Times New Roman" w:hAnsi="Times New Roman"/>
          <w:sz w:val="22"/>
          <w:szCs w:val="22"/>
        </w:rPr>
        <w:t xml:space="preserve">Bunke, H. (1997). On a relation between graph edit distance and maximum common subgraph. Pattern Recognition Letters, 18(8), 689–694.</w:t>
      </w:r>
    </w:p>
    <w:p>
      <w:pPr>
        <w:spacing w:after="60" w:before="60" w:line="276"/>
        <w:ind/>
        <w:jc w:val="both"/>
      </w:pPr>
      <w:r>
        <w:rPr>
          <w:rFonts w:ascii="Times New Roman" w:cs="Times New Roman" w:eastAsia="Times New Roman" w:hAnsi="Times New Roman"/>
          <w:sz w:val="22"/>
          <w:szCs w:val="22"/>
        </w:rPr>
        <w:t xml:space="preserve">Järvelin, K., &amp; Kekäläinen, J. (2002). Cumulated gain-based evaluation of IR techniques. ACM Transactions on Information Systems, 20(4), 422–446.</w:t>
      </w:r>
    </w:p>
    <w:p>
      <w:pPr>
        <w:spacing w:after="60" w:before="60" w:line="276"/>
        <w:ind/>
        <w:jc w:val="both"/>
      </w:pPr>
      <w:r>
        <w:rPr>
          <w:rFonts w:ascii="Times New Roman" w:cs="Times New Roman" w:eastAsia="Times New Roman" w:hAnsi="Times New Roman"/>
          <w:sz w:val="22"/>
          <w:szCs w:val="22"/>
        </w:rPr>
        <w:t xml:space="preserve">Koch, S., Matveev, A., Jiang, Z., Williams, F., Artemov, A., Burnaev, E., &amp; Fua, P. (2019). ABC: A big CAD model dataset for geometric deep learning. CVPR, 9601–9611.</w:t>
      </w:r>
    </w:p>
    <w:p>
      <w:pPr>
        <w:spacing w:after="60" w:before="60" w:line="276"/>
        <w:ind/>
        <w:jc w:val="both"/>
      </w:pPr>
      <w:r>
        <w:rPr>
          <w:rFonts w:ascii="Times New Roman" w:cs="Times New Roman" w:eastAsia="Times New Roman" w:hAnsi="Times New Roman"/>
          <w:sz w:val="22"/>
          <w:szCs w:val="22"/>
        </w:rPr>
        <w:t xml:space="preserve">Pedregosa, F. et al. (2011). Scikit-learn: Machine learning in Python. Journal of Machine Learning Research, 12, 2825–2830.</w:t>
      </w:r>
    </w:p>
    <w:p>
      <w:pPr>
        <w:spacing w:after="60" w:before="60" w:line="276"/>
        <w:ind/>
        <w:jc w:val="both"/>
      </w:pPr>
      <w:r>
        <w:rPr>
          <w:rFonts w:ascii="Times New Roman" w:cs="Times New Roman" w:eastAsia="Times New Roman" w:hAnsi="Times New Roman"/>
          <w:sz w:val="22"/>
          <w:szCs w:val="22"/>
        </w:rPr>
        <w:t xml:space="preserve">Vishwanathan, S.V.N., Schraudolph, N.N., Kondor, R., &amp; Borgwardt, K.M. (2010). Graph kernels. Journal of Machine Learning Research, 11, 1201–1242.</w:t>
      </w:r>
    </w:p>
    <w:p>
      <w:pPr>
        <w:spacing w:after="60" w:before="60" w:line="276"/>
        <w:ind/>
        <w:jc w:val="both"/>
      </w:pPr>
      <w:r>
        <w:rPr>
          <w:rFonts w:ascii="Times New Roman" w:cs="Times New Roman" w:eastAsia="Times New Roman" w:hAnsi="Times New Roman"/>
          <w:sz w:val="22"/>
          <w:szCs w:val="22"/>
        </w:rPr>
        <w:t xml:space="preserve">Willis, K.D.D. et al. (2021). Fusion 360 Gallery: A dataset and environment for programmatic CAD construction from human design sequences. ACM Transactions on Graphics, 40(4).</w:t>
      </w:r>
    </w:p>
    <w:p>
      <w:pPr>
        <w:spacing w:after="60" w:before="60" w:line="276"/>
        <w:ind/>
        <w:jc w:val="both"/>
      </w:pPr>
      <w:r>
        <w:rPr>
          <w:rFonts w:ascii="Times New Roman" w:cs="Times New Roman" w:eastAsia="Times New Roman" w:hAnsi="Times New Roman"/>
          <w:sz w:val="22"/>
          <w:szCs w:val="22"/>
        </w:rPr>
        <w:t xml:space="preserve">World Wide Web Consortium (W3C). (2012). OWL 2 Web Ontology Language document overview (Second Edition). https://www.w3.org/TR/owl2-overview/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fb5a5d71172bd37fea20f31aeb6f3ac082cb78.png"/><Relationship Id="rId9" Type="http://schemas.openxmlformats.org/officeDocument/2006/relationships/image" Target="media/680684ea3eb2a8f752209a2752ee9f9fae8b88cf.png"/><Relationship Id="rId10" Type="http://schemas.openxmlformats.org/officeDocument/2006/relationships/image" Target="media/de737769e116788edf9734cce997a51f1f26f180.png"/><Relationship Id="rId11" Type="http://schemas.openxmlformats.org/officeDocument/2006/relationships/image" Target="media/49a304151dde8a718a1320074ab18903b16c94d5.png"/><Relationship Id="rId12" Type="http://schemas.openxmlformats.org/officeDocument/2006/relationships/image" Target="media/8481aaa53fbd4b44ab7b80140416295783cab9ad.png"/><Relationship Id="rId13" Type="http://schemas.openxmlformats.org/officeDocument/2006/relationships/image" Target="media/58ef9edf58cae38f1a3a4957725cf2afee04f8f6.png"/><Relationship Id="rId14" Type="http://schemas.openxmlformats.org/officeDocument/2006/relationships/image" Target="media/51d178e383a6c58e98fbc280d6cffdcb9b9a3486.png"/><Relationship Id="rId15" Type="http://schemas.openxmlformats.org/officeDocument/2006/relationships/image" Target="media/2b77b7cd3c29a94cddcac98dba2cace3153229ea.png"/><Relationship Id="rId16" Type="http://schemas.openxmlformats.org/officeDocument/2006/relationships/image" Target="media/10a05912b6285ec25dcc9e2606fc08f30be8c17e.png"/><Relationship Id="rId17" Type="http://schemas.openxmlformats.org/officeDocument/2006/relationships/image" Target="media/41526c9e8f152da8e65d48f2b546abb0459f8e7e.png"/><Relationship Id="rId18" Type="http://schemas.openxmlformats.org/officeDocument/2006/relationships/image" Target="media/dfa3883c7cb7bd2e6bee23bbdc1df7a5c68f10e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2026-06-03T16:38:19.053Z</dcterms:created>
  <dcterms:modified xsi:type="dcterms:W3CDTF">2026-06-03T16:38:19.054Z</dcterms:modified>
</cp:coreProperties>
</file>

<file path=docProps/custom.xml><?xml version="1.0" encoding="utf-8"?>
<Properties xmlns="http://schemas.openxmlformats.org/officeDocument/2006/custom-properties" xmlns:vt="http://schemas.openxmlformats.org/officeDocument/2006/docPropsVTypes"/>
</file>