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jc w:val="center"/>
      </w:pPr>
      <w:r>
        <w:rPr>
          <w:rFonts w:ascii="Arial" w:cs="Arial" w:eastAsia="Arial" w:hAnsi="Arial"/>
          <w:b/>
          <w:bCs/>
          <w:sz w:val="32"/>
          <w:szCs w:val="32"/>
        </w:rPr>
        <w:t xml:space="preserve">Semantic vs. Geometric Features in CAD Assembly Similarity Retrieval: An Empirical Study with Ontology-Based Evaluation</w:t>
      </w:r>
    </w:p>
    <w:p>
      <w:pPr>
        <w:spacing w:after="60" w:before="60"/>
        <w:jc w:val="center"/>
      </w:pPr>
      <w:r>
        <w:rPr>
          <w:rFonts w:ascii="Times New Roman" w:cs="Times New Roman" w:eastAsia="Times New Roman" w:hAnsi="Times New Roman"/>
          <w:sz w:val="24"/>
          <w:szCs w:val="24"/>
        </w:rPr>
        <w:t xml:space="preserve">Ulukbek Rahmanov</w:t>
      </w:r>
    </w:p>
    <w:p>
      <w:pPr>
        <w:spacing w:after="40" w:before="40"/>
        <w:jc w:val="center"/>
      </w:pPr>
      <w:r>
        <w:rPr>
          <w:rFonts w:ascii="Times New Roman" w:cs="Times New Roman" w:eastAsia="Times New Roman" w:hAnsi="Times New Roman"/>
          <w:i/>
          <w:iCs/>
          <w:color w:val="555555"/>
          <w:sz w:val="22"/>
          <w:szCs w:val="22"/>
        </w:rPr>
        <w:t xml:space="preserve">[Institution Name], [Department]</w:t>
      </w:r>
    </w:p>
    <w:p>
      <w:pPr>
        <w:spacing w:after="180" w:before="40"/>
        <w:jc w:val="center"/>
      </w:pPr>
      <w:r>
        <w:rPr>
          <w:rFonts w:ascii="Times New Roman" w:cs="Times New Roman" w:eastAsia="Times New Roman" w:hAnsi="Times New Roman"/>
          <w:color w:val="555555"/>
          <w:sz w:val="22"/>
          <w:szCs w:val="22"/>
        </w:rPr>
        <w:t xml:space="preserve">rahmanov.ulukbek.2005@gmail.com</w:t>
      </w:r>
    </w:p>
    <w:p>
      <w:pPr>
        <w:pStyle w:val="Heading1"/>
        <w:spacing w:after="120" w:before="280"/>
      </w:pPr>
      <w:r>
        <w:rPr>
          <w:rFonts w:ascii="Arial" w:cs="Arial" w:eastAsia="Arial" w:hAnsi="Arial"/>
          <w:b/>
          <w:bCs/>
          <w:color w:val="000000"/>
          <w:sz w:val="26"/>
          <w:szCs w:val="26"/>
        </w:rPr>
        <w:t xml:space="preserve">Abstract</w:t>
      </w:r>
    </w:p>
    <w:p>
      <w:pPr>
        <w:spacing w:after="60" w:before="60" w:line="276"/>
        <w:ind w:firstLine="0"/>
        <w:jc w:val="both"/>
      </w:pPr>
      <w:r>
        <w:rPr>
          <w:rFonts w:ascii="Times New Roman" w:cs="Times New Roman" w:eastAsia="Times New Roman" w:hAnsi="Times New Roman"/>
          <w:color w:val="000000"/>
          <w:sz w:val="22"/>
          <w:szCs w:val="22"/>
        </w:rPr>
        <w:t xml:space="preserve">Automated similarity retrieval of CAD assemblies is critical for enabling design reuse, reducing engineering time, and building searchable design knowledge bases. Most existing approaches rely exclusively on geometric parameters. This paper presents a rigorous empirical comparison of three feature modalities — technical (geometric), semantic (material ontology), and their combination — for CAD assembly retrieval on a dataset of 746 Fusion 360 assemblies. We make three methodological contributions: (1) we identify and correct three evaluation pitfalls — label leakage, zero-variance features, and in-sample weight optimisation — each of which individually inflates reported performance to levels that are methodologically invalid; (2) we construct contact-topology ground-truth labels that are genuinely independent of all retrieval feature domains used in evaluation; and (3) we implement 5-fold cross-validated weight selection that provides unbiased performance estimates. Our corrected results show that semantic features (material ontology) outperform geometric features on Mean Reciprocal Rank (MRR: 0.368 vs. 0.308, Cohen's d = 0.17, p &lt; 0.01), while geometric features dominate Precision@5 (0.270 vs. 0.173). Cross-validated weight optimisation consistently selects pure semantic weighting, revealing that simple linear hybridisation provides no advantage over the best single-domain approach. We discuss the implications for retrieval system design and present the OWL ontology and SPARQL-queryable knowledge graph as infrastructure for explainable retrieval independent of the performance results.</w:t>
      </w:r>
    </w:p>
    <w:p>
      <w:pPr>
        <w:spacing w:after="60" w:before="60"/>
      </w:pPr>
      <w:r>
        <w:rPr>
          <w:sz w:val="22"/>
          <w:szCs w:val="22"/>
        </w:rPr>
        <w:t xml:space="preserve"/>
      </w:r>
    </w:p>
    <w:p>
      <w:pPr>
        <w:spacing w:after="60" w:before="60" w:line="276"/>
        <w:ind w:firstLine="440"/>
        <w:jc w:val="both"/>
      </w:pPr>
      <w:r>
        <w:rPr>
          <w:rFonts w:ascii="Times New Roman" w:cs="Times New Roman" w:eastAsia="Times New Roman" w:hAnsi="Times New Roman"/>
          <w:b/>
          <w:bCs/>
          <w:i w:val="false"/>
          <w:iCs w:val="false"/>
          <w:sz w:val="22"/>
          <w:szCs w:val="22"/>
        </w:rPr>
        <w:t xml:space="preserve">Keywords: </w:t>
      </w:r>
      <w:r>
        <w:rPr>
          <w:rFonts w:ascii="Times New Roman" w:cs="Times New Roman" w:eastAsia="Times New Roman" w:hAnsi="Times New Roman"/>
          <w:b w:val="false"/>
          <w:bCs w:val="false"/>
          <w:i w:val="false"/>
          <w:iCs w:val="false"/>
          <w:sz w:val="22"/>
          <w:szCs w:val="22"/>
        </w:rPr>
        <w:t xml:space="preserve">CAD assembly retrieval, ontology-based similarity, geometric features, evaluation methodology, evaluation circularity, cross-validation, MRR, knowledge graph</w:t>
      </w:r>
    </w:p>
    <w:p>
      <w:pPr>
        <w:spacing w:after="60" w:before="60"/>
      </w:pPr>
      <w:r>
        <w:rPr>
          <w:sz w:val="22"/>
          <w:szCs w:val="22"/>
        </w:rPr>
        <w:t xml:space="preserve"/>
      </w:r>
    </w:p>
    <w:p>
      <w:pPr>
        <w:pStyle w:val="Heading1"/>
        <w:spacing w:after="120" w:before="280"/>
      </w:pPr>
      <w:r>
        <w:rPr>
          <w:rFonts w:ascii="Arial" w:cs="Arial" w:eastAsia="Arial" w:hAnsi="Arial"/>
          <w:b/>
          <w:bCs/>
          <w:color w:val="000000"/>
          <w:sz w:val="26"/>
          <w:szCs w:val="26"/>
        </w:rPr>
        <w:t xml:space="preserve">1. Introduction</w:t>
      </w:r>
    </w:p>
    <w:p>
      <w:pPr>
        <w:spacing w:after="60" w:before="60" w:line="276"/>
        <w:ind w:firstLine="440"/>
        <w:jc w:val="both"/>
      </w:pPr>
      <w:r>
        <w:rPr>
          <w:rFonts w:ascii="Times New Roman" w:cs="Times New Roman" w:eastAsia="Times New Roman" w:hAnsi="Times New Roman"/>
          <w:color w:val="000000"/>
          <w:sz w:val="22"/>
          <w:szCs w:val="22"/>
        </w:rPr>
        <w:t xml:space="preserve">Computer-Aided Design (CAD) repositories in industrial and academic settings commonly contain tens of thousands of assemblies. Engineers frequently seek assemblies similar to a target design — to reuse components, identify analogous structural patterns, or assess manufacturability. Automated similarity retrieval addresses this need but requires a principled choice of feature representation.</w:t>
      </w:r>
    </w:p>
    <w:p>
      <w:pPr>
        <w:spacing w:after="60" w:before="60" w:line="276"/>
        <w:ind w:firstLine="440"/>
        <w:jc w:val="both"/>
      </w:pPr>
      <w:r>
        <w:rPr>
          <w:rFonts w:ascii="Times New Roman" w:cs="Times New Roman" w:eastAsia="Times New Roman" w:hAnsi="Times New Roman"/>
          <w:color w:val="000000"/>
          <w:sz w:val="22"/>
          <w:szCs w:val="22"/>
        </w:rPr>
        <w:t xml:space="preserve">Two broad classes of features have been proposed in the literature: geometric/technical features derived from the CAD model itself (vertex counts, edge counts, volumetric parameters), and semantic features derived from annotations, material specifications, and ontological knowledge. The relationship between these modalities — whether they are complementary, redundant, or at odds — is not well understood for assembly-level retrieval.</w:t>
      </w:r>
    </w:p>
    <w:p>
      <w:pPr>
        <w:spacing w:after="60" w:before="60" w:line="276"/>
        <w:ind w:firstLine="440"/>
        <w:jc w:val="both"/>
      </w:pPr>
      <w:r>
        <w:rPr>
          <w:rFonts w:ascii="Times New Roman" w:cs="Times New Roman" w:eastAsia="Times New Roman" w:hAnsi="Times New Roman"/>
          <w:color w:val="000000"/>
          <w:sz w:val="22"/>
          <w:szCs w:val="22"/>
        </w:rPr>
        <w:t xml:space="preserve">A recurring problem in the CAD retrieval literature is evaluation circularity: ground-truth similarity labels are inadvertently derived from the same feature space used for retrieval, producing inflated metrics. This paper documents three instances of this pitfall in a concrete pipeline and shows that correcting them substantially changes the reported results and their interpretation.</w:t>
      </w:r>
    </w:p>
    <w:p>
      <w:pPr>
        <w:spacing w:after="60" w:before="60" w:line="276"/>
        <w:ind w:firstLine="440"/>
        <w:jc w:val="both"/>
      </w:pPr>
      <w:r>
        <w:rPr>
          <w:rFonts w:ascii="Times New Roman" w:cs="Times New Roman" w:eastAsia="Times New Roman" w:hAnsi="Times New Roman"/>
          <w:color w:val="000000"/>
          <w:sz w:val="22"/>
          <w:szCs w:val="22"/>
        </w:rPr>
        <w:t xml:space="preserve">Our main finding is counterintuitive: material semantic features (encoded in an OWL ontology) are stronger predictors of assembly topology class on first-rank retrieval (MRR) than geometric parameters, despite material type being a coarser descriptor. Geometric features, conversely, achieve higher Precision@5. Neither a naïve linear hybrid nor cross-validated weight optimisation improves over the best single domain.</w:t>
      </w:r>
    </w:p>
    <w:p>
      <w:pPr>
        <w:spacing w:after="60" w:before="60" w:line="276"/>
        <w:ind w:firstLine="440"/>
        <w:jc w:val="both"/>
      </w:pPr>
      <w:r>
        <w:rPr>
          <w:rFonts w:ascii="Times New Roman" w:cs="Times New Roman" w:eastAsia="Times New Roman" w:hAnsi="Times New Roman"/>
          <w:color w:val="000000"/>
          <w:sz w:val="22"/>
          <w:szCs w:val="22"/>
        </w:rPr>
        <w:t xml:space="preserve">The contributions of this paper are:</w:t>
      </w:r>
    </w:p>
    <w:p>
      <w:pPr>
        <w:spacing w:after="60" w:before="60" w:line="276"/>
        <w:ind w:left="720" w:hanging="360"/>
      </w:pPr>
      <w:r>
        <w:rPr>
          <w:rFonts w:ascii="Times New Roman" w:cs="Times New Roman" w:eastAsia="Times New Roman" w:hAnsi="Times New Roman"/>
          <w:sz w:val="22"/>
          <w:szCs w:val="22"/>
        </w:rPr>
        <w:t xml:space="preserve">1.  A taxonomy of three evaluation pitfalls in CAD similarity retrieval with concrete examples and corrections.</w:t>
      </w:r>
    </w:p>
    <w:p>
      <w:pPr>
        <w:spacing w:after="60" w:before="60" w:line="276"/>
        <w:ind w:left="720" w:hanging="360"/>
      </w:pPr>
      <w:r>
        <w:rPr>
          <w:rFonts w:ascii="Times New Roman" w:cs="Times New Roman" w:eastAsia="Times New Roman" w:hAnsi="Times New Roman"/>
          <w:sz w:val="22"/>
          <w:szCs w:val="22"/>
        </w:rPr>
        <w:t xml:space="preserve">2.  Contact-topology ground-truth labels verified as independent of all retrieval feature domains.</w:t>
      </w:r>
    </w:p>
    <w:p>
      <w:pPr>
        <w:spacing w:after="60" w:before="60" w:line="276"/>
        <w:ind w:left="720" w:hanging="360"/>
      </w:pPr>
      <w:r>
        <w:rPr>
          <w:rFonts w:ascii="Times New Roman" w:cs="Times New Roman" w:eastAsia="Times New Roman" w:hAnsi="Times New Roman"/>
          <w:sz w:val="22"/>
          <w:szCs w:val="22"/>
        </w:rPr>
        <w:t xml:space="preserve">3.  An empirical comparison of geometric, semantic, and hybrid similarity under unbiased 5-fold cross-validated evaluation on 746 industrial assemblies.</w:t>
      </w:r>
    </w:p>
    <w:p>
      <w:pPr>
        <w:spacing w:after="60" w:before="60" w:line="276"/>
        <w:ind w:left="720" w:hanging="360"/>
      </w:pPr>
      <w:r>
        <w:rPr>
          <w:rFonts w:ascii="Times New Roman" w:cs="Times New Roman" w:eastAsia="Times New Roman" w:hAnsi="Times New Roman"/>
          <w:sz w:val="22"/>
          <w:szCs w:val="22"/>
        </w:rPr>
        <w:t xml:space="preserve">4.  An OWL ontology and SPARQL knowledge graph for 746 assemblies enabling explainable, queryable retrieval.</w:t>
      </w:r>
    </w:p>
    <w:p>
      <w:pPr>
        <w:spacing w:after="60" w:before="60"/>
      </w:pPr>
      <w:r>
        <w:rPr>
          <w:sz w:val="22"/>
          <w:szCs w:val="22"/>
        </w:rPr>
        <w:t xml:space="preserve"/>
      </w:r>
    </w:p>
    <w:p>
      <w:pPr>
        <w:pStyle w:val="Heading1"/>
        <w:spacing w:after="120" w:before="280"/>
      </w:pPr>
      <w:r>
        <w:rPr>
          <w:rFonts w:ascii="Arial" w:cs="Arial" w:eastAsia="Arial" w:hAnsi="Arial"/>
          <w:b/>
          <w:bCs/>
          <w:color w:val="000000"/>
          <w:sz w:val="26"/>
          <w:szCs w:val="26"/>
        </w:rPr>
        <w:t xml:space="preserve">2. Related Work</w:t>
      </w:r>
    </w:p>
    <w:p>
      <w:pPr>
        <w:pStyle w:val="Heading2"/>
        <w:spacing w:after="80" w:before="200"/>
      </w:pPr>
      <w:r>
        <w:rPr>
          <w:rFonts w:ascii="Arial" w:cs="Arial" w:eastAsia="Arial" w:hAnsi="Arial"/>
          <w:b/>
          <w:bCs/>
          <w:color w:val="000000"/>
          <w:sz w:val="24"/>
          <w:szCs w:val="24"/>
        </w:rPr>
        <w:t xml:space="preserve">2.1 Geometric Similarity in CAD</w:t>
      </w:r>
    </w:p>
    <w:p>
      <w:pPr>
        <w:spacing w:after="60" w:before="60" w:line="276"/>
        <w:ind w:firstLine="440"/>
        <w:jc w:val="both"/>
      </w:pPr>
      <w:r>
        <w:rPr>
          <w:rFonts w:ascii="Times New Roman" w:cs="Times New Roman" w:eastAsia="Times New Roman" w:hAnsi="Times New Roman"/>
          <w:color w:val="000000"/>
          <w:sz w:val="22"/>
          <w:szCs w:val="22"/>
        </w:rPr>
        <w:t xml:space="preserve">Shape-based retrieval has been the dominant paradigm for CAD similarity. Approaches include graph-based methods that match assembly graphs [CITE], topological descriptors such as Reeb graphs and skeleton representations [CITE], and feature vector methods using part counts, surface areas, and volume ratios [CITE]. Elber and Cohen [CITE] provide a comprehensive survey of shape matching techniques. A limitation of purely geometric methods is their inability to capture design intent, manufacturing constraints, or material properties that a human engineer considers when assessing similarity.</w:t>
      </w:r>
    </w:p>
    <w:p>
      <w:pPr>
        <w:pStyle w:val="Heading2"/>
        <w:spacing w:after="80" w:before="200"/>
      </w:pPr>
      <w:r>
        <w:rPr>
          <w:rFonts w:ascii="Arial" w:cs="Arial" w:eastAsia="Arial" w:hAnsi="Arial"/>
          <w:b/>
          <w:bCs/>
          <w:color w:val="000000"/>
          <w:sz w:val="24"/>
          <w:szCs w:val="24"/>
        </w:rPr>
        <w:t xml:space="preserve">2.2 Semantic and Ontology-Based Approaches</w:t>
      </w:r>
    </w:p>
    <w:p>
      <w:pPr>
        <w:spacing w:after="60" w:before="60" w:line="276"/>
        <w:ind w:firstLine="440"/>
        <w:jc w:val="both"/>
      </w:pPr>
      <w:r>
        <w:rPr>
          <w:rFonts w:ascii="Times New Roman" w:cs="Times New Roman" w:eastAsia="Times New Roman" w:hAnsi="Times New Roman"/>
          <w:color w:val="000000"/>
          <w:sz w:val="22"/>
          <w:szCs w:val="22"/>
        </w:rPr>
        <w:t xml:space="preserve">Ontologies have been proposed as a vehicle for capturing engineering semantics. The STEP standard [CITE] and Product Lifecycle Management (PLM) ontologies [CITE] encode material, function, and process knowledge. Shah et al. [CITE] demonstrate that design intent annotations improve retrieval relevance over geometry alone. However, most ontology-based systems are evaluated on small datasets with manually constructed ground truth, and direct comparisons with geometric baselines under rigorous evaluation protocols are rare.</w:t>
      </w:r>
    </w:p>
    <w:p>
      <w:pPr>
        <w:pStyle w:val="Heading2"/>
        <w:spacing w:after="80" w:before="200"/>
      </w:pPr>
      <w:r>
        <w:rPr>
          <w:rFonts w:ascii="Arial" w:cs="Arial" w:eastAsia="Arial" w:hAnsi="Arial"/>
          <w:b/>
          <w:bCs/>
          <w:color w:val="000000"/>
          <w:sz w:val="24"/>
          <w:szCs w:val="24"/>
        </w:rPr>
        <w:t xml:space="preserve">2.3 Hybrid and Multi-Modal Similarity</w:t>
      </w:r>
    </w:p>
    <w:p>
      <w:pPr>
        <w:spacing w:after="60" w:before="60" w:line="276"/>
        <w:ind w:firstLine="440"/>
        <w:jc w:val="both"/>
      </w:pPr>
      <w:r>
        <w:rPr>
          <w:rFonts w:ascii="Times New Roman" w:cs="Times New Roman" w:eastAsia="Times New Roman" w:hAnsi="Times New Roman"/>
          <w:color w:val="000000"/>
          <w:sz w:val="22"/>
          <w:szCs w:val="22"/>
        </w:rPr>
        <w:t xml:space="preserve">Several authors combine geometric and semantic features via weighted fusion [CITE]. A common weakness is that weights are selected on the evaluation set itself, producing optimistically biased results. Shao et al. [CITE] address this by cross-validated tuning but do not test the hypothesis that hybridisation is strictly necessary. Our work directly tests whether linear combination of modalities improves over the best single domain under held-out evaluation.</w:t>
      </w:r>
    </w:p>
    <w:p>
      <w:pPr>
        <w:pStyle w:val="Heading2"/>
        <w:spacing w:after="80" w:before="200"/>
      </w:pPr>
      <w:r>
        <w:rPr>
          <w:rFonts w:ascii="Arial" w:cs="Arial" w:eastAsia="Arial" w:hAnsi="Arial"/>
          <w:b/>
          <w:bCs/>
          <w:color w:val="000000"/>
          <w:sz w:val="24"/>
          <w:szCs w:val="24"/>
        </w:rPr>
        <w:t xml:space="preserve">2.4 Evaluation Methodology</w:t>
      </w:r>
    </w:p>
    <w:p>
      <w:pPr>
        <w:spacing w:after="60" w:before="60" w:line="276"/>
        <w:ind w:firstLine="440"/>
        <w:jc w:val="both"/>
      </w:pPr>
      <w:r>
        <w:rPr>
          <w:rFonts w:ascii="Times New Roman" w:cs="Times New Roman" w:eastAsia="Times New Roman" w:hAnsi="Times New Roman"/>
          <w:color w:val="000000"/>
          <w:sz w:val="22"/>
          <w:szCs w:val="22"/>
        </w:rPr>
        <w:t xml:space="preserve">Circularity in evaluation — where training labels leak into the retrieval feature set — has been documented in general information retrieval [CITE] and image retrieval [CITE] but received little explicit attention in CAD retrieval. We provide the first taxonomy of this failure mode specifically for CAD assembly pipelines.</w:t>
      </w:r>
    </w:p>
    <w:p>
      <w:pPr>
        <w:spacing w:after="60" w:before="60"/>
      </w:pPr>
      <w:r>
        <w:rPr>
          <w:sz w:val="22"/>
          <w:szCs w:val="22"/>
        </w:rPr>
        <w:t xml:space="preserve"/>
      </w:r>
    </w:p>
    <w:p>
      <w:pPr>
        <w:pStyle w:val="Heading1"/>
        <w:spacing w:after="120" w:before="280"/>
      </w:pPr>
      <w:r>
        <w:rPr>
          <w:rFonts w:ascii="Arial" w:cs="Arial" w:eastAsia="Arial" w:hAnsi="Arial"/>
          <w:b/>
          <w:bCs/>
          <w:color w:val="000000"/>
          <w:sz w:val="26"/>
          <w:szCs w:val="26"/>
        </w:rPr>
        <w:t xml:space="preserve">3. Dataset and Ground-Truth Labels</w:t>
      </w:r>
    </w:p>
    <w:p>
      <w:pPr>
        <w:pStyle w:val="Heading2"/>
        <w:spacing w:after="80" w:before="200"/>
      </w:pPr>
      <w:r>
        <w:rPr>
          <w:rFonts w:ascii="Arial" w:cs="Arial" w:eastAsia="Arial" w:hAnsi="Arial"/>
          <w:b/>
          <w:bCs/>
          <w:color w:val="000000"/>
          <w:sz w:val="24"/>
          <w:szCs w:val="24"/>
        </w:rPr>
        <w:t xml:space="preserve">3.1 Dataset</w:t>
      </w:r>
    </w:p>
    <w:p>
      <w:pPr>
        <w:spacing w:after="60" w:before="60" w:line="276"/>
        <w:ind w:firstLine="440"/>
        <w:jc w:val="both"/>
      </w:pPr>
      <w:r>
        <w:rPr>
          <w:rFonts w:ascii="Times New Roman" w:cs="Times New Roman" w:eastAsia="Times New Roman" w:hAnsi="Times New Roman"/>
          <w:color w:val="000000"/>
          <w:sz w:val="22"/>
          <w:szCs w:val="22"/>
        </w:rPr>
        <w:t xml:space="preserve">We use a dataset of 746 Fusion 360 CAD assemblies extracted from the Autodesk open-source repository. For each assembly, 11 geometric features are available: component count, body count, edge count, face count, vertex count, mass, volume, surface area, geometric complexity, complexity ratio, and rotational symmetry. Additionally, material type (categorical) and three contact-topology features (n_contacts, n_holes, n_occurrences) are extracted from the assembly JSON files. All 746 assemblies have complete feature records.</w:t>
      </w:r>
    </w:p>
    <w:p>
      <w:pPr>
        <w:spacing w:after="60" w:before="60" w:line="276"/>
        <w:ind w:firstLine="440"/>
        <w:jc w:val="both"/>
      </w:pPr>
      <w:r>
        <w:rPr>
          <w:rFonts w:ascii="Times New Roman" w:cs="Times New Roman" w:eastAsia="Times New Roman" w:hAnsi="Times New Roman"/>
          <w:color w:val="000000"/>
          <w:sz w:val="22"/>
          <w:szCs w:val="22"/>
        </w:rPr>
        <w:t xml:space="preserve">The dataset is geometrically homogeneous: the majority of assemblies are small steel components with few bodies, which explains the high median Technical cosine similarity of 0.99 and the low absolute retrieval performance across all methods. This homogeneity is a dataset characteristic, not a method failure.</w:t>
      </w:r>
    </w:p>
    <w:p>
      <w:pPr>
        <w:pStyle w:val="Heading2"/>
        <w:spacing w:after="80" w:before="200"/>
      </w:pPr>
      <w:r>
        <w:rPr>
          <w:rFonts w:ascii="Arial" w:cs="Arial" w:eastAsia="Arial" w:hAnsi="Arial"/>
          <w:b/>
          <w:bCs/>
          <w:color w:val="000000"/>
          <w:sz w:val="24"/>
          <w:szCs w:val="24"/>
        </w:rPr>
        <w:t xml:space="preserve">3.2 Ground-Truth Labels</w:t>
      </w:r>
    </w:p>
    <w:p>
      <w:pPr>
        <w:spacing w:after="60" w:before="60" w:line="276"/>
        <w:ind w:firstLine="440"/>
        <w:jc w:val="both"/>
      </w:pPr>
      <w:r>
        <w:rPr>
          <w:rFonts w:ascii="Times New Roman" w:cs="Times New Roman" w:eastAsia="Times New Roman" w:hAnsi="Times New Roman"/>
          <w:color w:val="000000"/>
          <w:sz w:val="22"/>
          <w:szCs w:val="22"/>
        </w:rPr>
        <w:t xml:space="preserve">Designing evaluation labels that are simultaneously informative and free of circularity with respect to the retrieval features is non-trivial. We use contact topology as the basis for ground truth. Contact topology — the number of constrained contacts and holes in an assembly — captures the structural complexity of part interconnections and is conceptually distinct from geometric dimensions.</w:t>
      </w:r>
    </w:p>
    <w:p>
      <w:pPr>
        <w:spacing w:after="60" w:before="60" w:line="276"/>
        <w:ind w:firstLine="440"/>
        <w:jc w:val="both"/>
      </w:pPr>
      <w:r>
        <w:rPr>
          <w:rFonts w:ascii="Times New Roman" w:cs="Times New Roman" w:eastAsia="Times New Roman" w:hAnsi="Times New Roman"/>
          <w:color w:val="000000"/>
          <w:sz w:val="22"/>
          <w:szCs w:val="22"/>
        </w:rPr>
        <w:t xml:space="preserve">Specifically, we compute a combined contact score s = n_contacts + n_holes for each assembly and assign topo_family labels by quintile partition of log(s + 1), producing five balanced groups: topo_isolated (n=128), topo_minimal (n=134), topo_moderate (n=174), topo_connected (n=154), and topo_complex (n=156).</w:t>
      </w:r>
    </w:p>
    <w:p>
      <w:pPr>
        <w:spacing w:after="60" w:before="60" w:line="276"/>
        <w:ind w:firstLine="440"/>
        <w:jc w:val="both"/>
      </w:pPr>
      <w:r>
        <w:rPr>
          <w:rFonts w:ascii="Times New Roman" w:cs="Times New Roman" w:eastAsia="Times New Roman" w:hAnsi="Times New Roman"/>
          <w:color w:val="000000"/>
          <w:sz w:val="22"/>
          <w:szCs w:val="22"/>
        </w:rPr>
        <w:t xml:space="preserve">Independence verification: a Decision Tree classifier trained on all 11 geometric features achieves 40.7% accuracy in predicting topo_family labels on held-out data, against a chance level of 23.3% (1/k for k=5 unbalanced classes adjusted by frequency). While this is above chance, it is far below the 99.87% accuracy achieved when family labels were inadvertently derived from the geometric features themselves (Bug B1, described in Section 4.3). We conclude that the topo_family labels are sufficiently independent of the geometric feature space for valid evaluation.</w:t>
      </w:r>
    </w:p>
    <w:p>
      <w:pPr>
        <w:spacing w:after="60" w:before="60" w:line="276"/>
        <w:ind w:firstLine="440"/>
        <w:jc w:val="both"/>
      </w:pPr>
      <w:r>
        <w:rPr>
          <w:rFonts w:ascii="Times New Roman" w:cs="Times New Roman" w:eastAsia="Times New Roman" w:hAnsi="Times New Roman"/>
          <w:color w:val="000000"/>
          <w:sz w:val="22"/>
          <w:szCs w:val="22"/>
        </w:rPr>
        <w:t xml:space="preserve">Critically, we exclude the structural feature domain (n_contacts, n_holes, n_occurrences) from the hybrid retrieval pipeline because these features directly encode the ground-truth labels. Table 1 summarises the independence structure of each feature domain.</w:t>
      </w:r>
    </w:p>
    <w:p>
      <w:pPr>
        <w:spacing w:after="60" w:before="60"/>
      </w:pPr>
      <w:r>
        <w:rPr>
          <w:sz w:val="22"/>
          <w:szCs w:val="22"/>
        </w:rPr>
        <w:t xml:space="preserve"/>
      </w:r>
    </w:p>
    <w:p>
      <w:pPr>
        <w:spacing w:after="60" w:before="120"/>
        <w:jc w:val="center"/>
      </w:pPr>
      <w:r>
        <w:rPr>
          <w:rFonts w:ascii="Times New Roman" w:cs="Times New Roman" w:eastAsia="Times New Roman" w:hAnsi="Times New Roman"/>
          <w:b/>
          <w:bCs/>
          <w:sz w:val="20"/>
          <w:szCs w:val="20"/>
        </w:rPr>
        <w:t xml:space="preserve">Table 1. </w:t>
      </w:r>
      <w:r>
        <w:rPr>
          <w:rFonts w:ascii="Times New Roman" w:cs="Times New Roman" w:eastAsia="Times New Roman" w:hAnsi="Times New Roman"/>
          <w:i/>
          <w:iCs/>
          <w:sz w:val="20"/>
          <w:szCs w:val="20"/>
        </w:rPr>
        <w:t xml:space="preserve">Feature domain independence analysis. Only Technical and Semantic domains are used in the retrieval pipeline.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000"/>
        <w:gridCol w:w="2000"/>
        <w:gridCol w:w="1400"/>
      </w:tblGrid>
      <w:tr>
        <w:trPr>
          <w:tblHeader/>
        </w:trPr>
        <w:tc>
          <w:tcPr>
            <w:tcW w:type="dxa" w:w="2400"/>
            <w:tcBorders>
              <w:top w:val="single" w:color="AAAAAA" w:sz="1"/>
              <w:left w:val="single" w:color="AAAAAA" w:sz="1"/>
              <w:bottom w:val="single" w:color="AAAAAA" w:sz="1"/>
              <w:right w:val="single" w:color="AAAAAA" w:sz="1"/>
            </w:tcBorders>
            <w:shd w:fill="DDEEFF"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18"/>
                <w:szCs w:val="18"/>
              </w:rPr>
              <w:t xml:space="preserve">Feature Domain</w:t>
            </w:r>
          </w:p>
        </w:tc>
        <w:tc>
          <w:tcPr>
            <w:tcW w:type="dxa" w:w="1800"/>
            <w:tcBorders>
              <w:top w:val="single" w:color="AAAAAA" w:sz="1"/>
              <w:left w:val="single" w:color="AAAAAA" w:sz="1"/>
              <w:bottom w:val="single" w:color="AAAAAA" w:sz="1"/>
              <w:right w:val="single" w:color="AAAAAA" w:sz="1"/>
            </w:tcBorders>
            <w:shd w:fill="DDEEFF"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18"/>
                <w:szCs w:val="18"/>
              </w:rPr>
              <w:t xml:space="preserve">Key Features</w:t>
            </w:r>
          </w:p>
        </w:tc>
        <w:tc>
          <w:tcPr>
            <w:tcW w:type="dxa" w:w="2000"/>
            <w:tcBorders>
              <w:top w:val="single" w:color="AAAAAA" w:sz="1"/>
              <w:left w:val="single" w:color="AAAAAA" w:sz="1"/>
              <w:bottom w:val="single" w:color="AAAAAA" w:sz="1"/>
              <w:right w:val="single" w:color="AAAAAA" w:sz="1"/>
            </w:tcBorders>
            <w:shd w:fill="DDEEFF"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Uses n_contacts/n_holes?</w:t>
            </w:r>
          </w:p>
        </w:tc>
        <w:tc>
          <w:tcPr>
            <w:tcW w:type="dxa" w:w="2000"/>
            <w:tcBorders>
              <w:top w:val="single" w:color="AAAAAA" w:sz="1"/>
              <w:left w:val="single" w:color="AAAAAA" w:sz="1"/>
              <w:bottom w:val="single" w:color="AAAAAA" w:sz="1"/>
              <w:right w:val="single" w:color="AAAAAA" w:sz="1"/>
            </w:tcBorders>
            <w:shd w:fill="DDEEFF"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Independent of topo_family?</w:t>
            </w:r>
          </w:p>
        </w:tc>
        <w:tc>
          <w:tcPr>
            <w:tcW w:type="dxa" w:w="1400"/>
            <w:tcBorders>
              <w:top w:val="single" w:color="AAAAAA" w:sz="1"/>
              <w:left w:val="single" w:color="AAAAAA" w:sz="1"/>
              <w:bottom w:val="single" w:color="AAAAAA" w:sz="1"/>
              <w:right w:val="single" w:color="AAAAAA" w:sz="1"/>
            </w:tcBorders>
            <w:shd w:fill="DDEEFF"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Used in Hybrid?</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Technical (geometric)</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face_count, edge_count, volume, mass, ...</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No</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Yes — DT accuracy 40.7% vs 23.3% chance</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Yes</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Semantic (ontology)</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material one-hot encoding</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No</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Yes — categorical, unrelated to topology</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Yes</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Structural (contact topology)</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n_contacts, n_holes, n_occurrences</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Yes</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No — circular (labels derived from these)</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Excluded</w:t>
            </w:r>
          </w:p>
        </w:tc>
      </w:tr>
    </w:tbl>
    <w:p>
      <w:pPr>
        <w:spacing w:after="60" w:before="60"/>
      </w:pPr>
      <w:r>
        <w:rPr>
          <w:sz w:val="22"/>
          <w:szCs w:val="22"/>
        </w:rPr>
        <w:t xml:space="preserve"/>
      </w:r>
    </w:p>
    <w:p>
      <w:pPr>
        <w:pStyle w:val="Heading1"/>
        <w:spacing w:after="120" w:before="280"/>
      </w:pPr>
      <w:r>
        <w:rPr>
          <w:rFonts w:ascii="Arial" w:cs="Arial" w:eastAsia="Arial" w:hAnsi="Arial"/>
          <w:b/>
          <w:bCs/>
          <w:color w:val="000000"/>
          <w:sz w:val="26"/>
          <w:szCs w:val="26"/>
        </w:rPr>
        <w:t xml:space="preserve">4. Methodology</w:t>
      </w:r>
    </w:p>
    <w:p>
      <w:pPr>
        <w:pStyle w:val="Heading2"/>
        <w:spacing w:after="80" w:before="200"/>
      </w:pPr>
      <w:r>
        <w:rPr>
          <w:rFonts w:ascii="Arial" w:cs="Arial" w:eastAsia="Arial" w:hAnsi="Arial"/>
          <w:b/>
          <w:bCs/>
          <w:color w:val="000000"/>
          <w:sz w:val="24"/>
          <w:szCs w:val="24"/>
        </w:rPr>
        <w:t xml:space="preserve">4.1 Feature Extraction and Similarity Computation</w:t>
      </w:r>
    </w:p>
    <w:p>
      <w:pPr>
        <w:spacing w:after="60" w:before="60" w:line="276"/>
        <w:ind w:firstLine="440"/>
        <w:jc w:val="both"/>
      </w:pPr>
      <w:r>
        <w:rPr>
          <w:rFonts w:ascii="Times New Roman" w:cs="Times New Roman" w:eastAsia="Times New Roman" w:hAnsi="Times New Roman"/>
          <w:color w:val="000000"/>
          <w:sz w:val="22"/>
          <w:szCs w:val="22"/>
        </w:rPr>
        <w:t xml:space="preserve">Technical similarity is computed as the cosine similarity of standardised geometric feature vectors. Standardisation (zero mean, unit variance) is applied to each fold's training set and the fitted scaler is applied to the test set, preventing test-set information from influencing the feature space.</w:t>
      </w:r>
    </w:p>
    <w:p>
      <w:pPr>
        <w:spacing w:after="60" w:before="60" w:line="276"/>
        <w:ind w:firstLine="440"/>
        <w:jc w:val="both"/>
      </w:pPr>
      <w:r>
        <w:rPr>
          <w:rFonts w:ascii="Times New Roman" w:cs="Times New Roman" w:eastAsia="Times New Roman" w:hAnsi="Times New Roman"/>
          <w:color w:val="000000"/>
          <w:sz w:val="22"/>
          <w:szCs w:val="22"/>
        </w:rPr>
        <w:t xml:space="preserve">Semantic similarity is computed as the cosine similarity of one-hot encoded material vectors. Five material categories appear in the dataset: Steel, Aluminum, Plastic, Brass, and Unknown. Material encoding does not depend on assembly topology and is therefore fold-independent.</w:t>
      </w:r>
    </w:p>
    <w:p>
      <w:pPr>
        <w:spacing w:after="60" w:before="60" w:line="276"/>
        <w:ind w:firstLine="440"/>
        <w:jc w:val="both"/>
      </w:pPr>
      <w:r>
        <w:rPr>
          <w:rFonts w:ascii="Times New Roman" w:cs="Times New Roman" w:eastAsia="Times New Roman" w:hAnsi="Times New Roman"/>
          <w:color w:val="000000"/>
          <w:sz w:val="22"/>
          <w:szCs w:val="22"/>
        </w:rPr>
        <w:t xml:space="preserve">Structural similarity (n_contacts, n_holes, n_occurrences) is computed for analysis purposes but is explicitly excluded from the retrieval pipeline due to circularity with the ground-truth labels (see Section 3.2 and Table 1).</w:t>
      </w:r>
    </w:p>
    <w:p>
      <w:pPr>
        <w:pStyle w:val="Heading2"/>
        <w:spacing w:after="80" w:before="200"/>
      </w:pPr>
      <w:r>
        <w:rPr>
          <w:rFonts w:ascii="Arial" w:cs="Arial" w:eastAsia="Arial" w:hAnsi="Arial"/>
          <w:b/>
          <w:bCs/>
          <w:color w:val="000000"/>
          <w:sz w:val="24"/>
          <w:szCs w:val="24"/>
        </w:rPr>
        <w:t xml:space="preserve">4.2 Ontology Construction</w:t>
      </w:r>
    </w:p>
    <w:p>
      <w:pPr>
        <w:spacing w:after="60" w:before="60" w:line="276"/>
        <w:ind w:firstLine="440"/>
        <w:jc w:val="both"/>
      </w:pPr>
      <w:r>
        <w:rPr>
          <w:rFonts w:ascii="Times New Roman" w:cs="Times New Roman" w:eastAsia="Times New Roman" w:hAnsi="Times New Roman"/>
          <w:color w:val="000000"/>
          <w:sz w:val="22"/>
          <w:szCs w:val="22"/>
        </w:rPr>
        <w:t xml:space="preserve">We construct an OWL ontology encoding 746 assemblies as individuals within a class hierarchy. The five topo_family classes (TopoIsolated, TopoMinimal, TopoModerate, TopoConnected, TopoComplex) are subclasses of EngineeringAssembly. Each individual is annotated with material, complexity level, and topology class. The ontology contains 4,476 RDF triples. SPARQL queries are provided for retrieval of assemblies by material and topology class, enabling transparent, auditable retrieval decisions.</w:t>
      </w:r>
    </w:p>
    <w:p>
      <w:pPr>
        <w:spacing w:after="60" w:before="60" w:line="276"/>
        <w:ind w:firstLine="440"/>
        <w:jc w:val="both"/>
      </w:pPr>
      <w:r>
        <w:rPr>
          <w:rFonts w:ascii="Times New Roman" w:cs="Times New Roman" w:eastAsia="Times New Roman" w:hAnsi="Times New Roman"/>
          <w:color w:val="000000"/>
          <w:sz w:val="22"/>
          <w:szCs w:val="22"/>
        </w:rPr>
        <w:t xml:space="preserve">The ontology serves two purposes: (1) it provides the material feature encoding used in semantic similarity computation, and (2) it provides an explainability layer — any retrieval decision can be justified by a SPARQL query showing shared material type, topology class, or both.</w:t>
      </w:r>
    </w:p>
    <w:p>
      <w:pPr>
        <w:pStyle w:val="Heading2"/>
        <w:spacing w:after="80" w:before="200"/>
      </w:pPr>
      <w:r>
        <w:rPr>
          <w:rFonts w:ascii="Arial" w:cs="Arial" w:eastAsia="Arial" w:hAnsi="Arial"/>
          <w:b/>
          <w:bCs/>
          <w:color w:val="000000"/>
          <w:sz w:val="24"/>
          <w:szCs w:val="24"/>
        </w:rPr>
        <w:t xml:space="preserve">4.3 Three Evaluation Pitfalls and Their Corrections</w:t>
      </w:r>
    </w:p>
    <w:p>
      <w:pPr>
        <w:spacing w:after="60" w:before="60" w:line="276"/>
        <w:ind w:firstLine="440"/>
        <w:jc w:val="both"/>
      </w:pPr>
      <w:r>
        <w:rPr>
          <w:rFonts w:ascii="Times New Roman" w:cs="Times New Roman" w:eastAsia="Times New Roman" w:hAnsi="Times New Roman"/>
          <w:color w:val="000000"/>
          <w:sz w:val="22"/>
          <w:szCs w:val="22"/>
        </w:rPr>
        <w:t xml:space="preserve">During development of this pipeline, three evaluation bugs were identified that individually produce misleading results. These are documented here as a methodological contribution, since similar errors appear to be common in the literature.</w:t>
      </w:r>
    </w:p>
    <w:p>
      <w:pPr>
        <w:spacing w:after="60" w:before="60"/>
      </w:pPr>
      <w:r>
        <w:rPr>
          <w:sz w:val="22"/>
          <w:szCs w:val="22"/>
        </w:rPr>
        <w:t xml:space="preserve"/>
      </w:r>
    </w:p>
    <w:p>
      <w:pPr>
        <w:spacing w:after="60" w:before="120"/>
        <w:jc w:val="center"/>
      </w:pPr>
      <w:r>
        <w:rPr>
          <w:rFonts w:ascii="Times New Roman" w:cs="Times New Roman" w:eastAsia="Times New Roman" w:hAnsi="Times New Roman"/>
          <w:b/>
          <w:bCs/>
          <w:sz w:val="20"/>
          <w:szCs w:val="20"/>
        </w:rPr>
        <w:t xml:space="preserve">Table 2. </w:t>
      </w:r>
      <w:r>
        <w:rPr>
          <w:rFonts w:ascii="Times New Roman" w:cs="Times New Roman" w:eastAsia="Times New Roman" w:hAnsi="Times New Roman"/>
          <w:i/>
          <w:iCs/>
          <w:sz w:val="20"/>
          <w:szCs w:val="20"/>
        </w:rPr>
        <w:t xml:space="preserve">Three evaluation pitfalls identified in this pipeline, their consequences, and corrections applied.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2000"/>
        <w:gridCol w:w="2800"/>
      </w:tblGrid>
      <w:tr>
        <w:trPr>
          <w:tblHeader/>
        </w:trPr>
        <w:tc>
          <w:tcPr>
            <w:tcW w:type="dxa" w:w="1600"/>
            <w:tcBorders>
              <w:top w:val="single" w:color="AAAAAA" w:sz="1"/>
              <w:left w:val="single" w:color="AAAAAA" w:sz="1"/>
              <w:bottom w:val="single" w:color="AAAAAA" w:sz="1"/>
              <w:right w:val="single" w:color="AAAAAA" w:sz="1"/>
            </w:tcBorders>
            <w:shd w:fill="DDEEFF" w:val="clear"/>
            <w:tcMar>
              <w:top w:type="dxa" w:w="60"/>
              <w:left w:type="dxa" w:w="100"/>
              <w:bottom w:type="dxa" w:w="60"/>
              <w:right w:type="dxa" w:w="100"/>
            </w:tcMar>
          </w:tcPr>
          <w:p>
            <w:pPr>
              <w:jc w:val="left"/>
            </w:pPr>
            <w:r>
              <w:rPr>
                <w:rFonts w:ascii="Times New Roman" w:cs="Times New Roman" w:eastAsia="Times New Roman" w:hAnsi="Times New Roman"/>
                <w:b/>
                <w:bCs/>
                <w:sz w:val="18"/>
                <w:szCs w:val="18"/>
              </w:rPr>
              <w:t xml:space="preserve">Bug</w:t>
            </w:r>
          </w:p>
        </w:tc>
        <w:tc>
          <w:tcPr>
            <w:tcW w:type="dxa" w:w="3200"/>
            <w:tcBorders>
              <w:top w:val="single" w:color="AAAAAA" w:sz="1"/>
              <w:left w:val="single" w:color="AAAAAA" w:sz="1"/>
              <w:bottom w:val="single" w:color="AAAAAA" w:sz="1"/>
              <w:right w:val="single" w:color="AAAAAA" w:sz="1"/>
            </w:tcBorders>
            <w:shd w:fill="DDEEFF" w:val="clear"/>
            <w:tcMar>
              <w:top w:type="dxa" w:w="60"/>
              <w:left w:type="dxa" w:w="100"/>
              <w:bottom w:type="dxa" w:w="60"/>
              <w:right w:type="dxa" w:w="100"/>
            </w:tcMar>
          </w:tcPr>
          <w:p>
            <w:pPr>
              <w:jc w:val="left"/>
            </w:pPr>
            <w:r>
              <w:rPr>
                <w:rFonts w:ascii="Times New Roman" w:cs="Times New Roman" w:eastAsia="Times New Roman" w:hAnsi="Times New Roman"/>
                <w:b/>
                <w:bCs/>
                <w:sz w:val="18"/>
                <w:szCs w:val="18"/>
              </w:rPr>
              <w:t xml:space="preserve">Description</w:t>
            </w:r>
          </w:p>
        </w:tc>
        <w:tc>
          <w:tcPr>
            <w:tcW w:type="dxa" w:w="2000"/>
            <w:tcBorders>
              <w:top w:val="single" w:color="AAAAAA" w:sz="1"/>
              <w:left w:val="single" w:color="AAAAAA" w:sz="1"/>
              <w:bottom w:val="single" w:color="AAAAAA" w:sz="1"/>
              <w:right w:val="single" w:color="AAAAAA" w:sz="1"/>
            </w:tcBorders>
            <w:shd w:fill="DDEEFF" w:val="clear"/>
            <w:tcMar>
              <w:top w:type="dxa" w:w="60"/>
              <w:left w:type="dxa" w:w="100"/>
              <w:bottom w:type="dxa" w:w="60"/>
              <w:right w:type="dxa" w:w="100"/>
            </w:tcMar>
          </w:tcPr>
          <w:p>
            <w:pPr>
              <w:jc w:val="left"/>
            </w:pPr>
            <w:r>
              <w:rPr>
                <w:rFonts w:ascii="Times New Roman" w:cs="Times New Roman" w:eastAsia="Times New Roman" w:hAnsi="Times New Roman"/>
                <w:b/>
                <w:bCs/>
                <w:sz w:val="18"/>
                <w:szCs w:val="18"/>
              </w:rPr>
              <w:t xml:space="preserve">Inflated Result</w:t>
            </w:r>
          </w:p>
        </w:tc>
        <w:tc>
          <w:tcPr>
            <w:tcW w:type="dxa" w:w="2800"/>
            <w:tcBorders>
              <w:top w:val="single" w:color="AAAAAA" w:sz="1"/>
              <w:left w:val="single" w:color="AAAAAA" w:sz="1"/>
              <w:bottom w:val="single" w:color="AAAAAA" w:sz="1"/>
              <w:right w:val="single" w:color="AAAAAA" w:sz="1"/>
            </w:tcBorders>
            <w:shd w:fill="DDEEFF" w:val="clear"/>
            <w:tcMar>
              <w:top w:type="dxa" w:w="60"/>
              <w:left w:type="dxa" w:w="100"/>
              <w:bottom w:type="dxa" w:w="60"/>
              <w:right w:type="dxa" w:w="100"/>
            </w:tcMar>
          </w:tcPr>
          <w:p>
            <w:pPr>
              <w:jc w:val="left"/>
            </w:pPr>
            <w:r>
              <w:rPr>
                <w:rFonts w:ascii="Times New Roman" w:cs="Times New Roman" w:eastAsia="Times New Roman" w:hAnsi="Times New Roman"/>
                <w:b/>
                <w:bCs/>
                <w:sz w:val="18"/>
                <w:szCs w:val="18"/>
              </w:rPr>
              <w:t xml:space="preserve">Fix Applied</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B1: Label leakage</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Family labels derived from geometric_complexity thresholds; same features used as retrieval input</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DT accuracy 99.87%</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Replaced with contact-topology labels (n_contacts + n_holes quintiles) independent of geometric features</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B2: Zero-variance features</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surface_area = 0 for all assemblies; mass numerically identical to volume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Spurious cosine similarity boost</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Removed surface_area; removed mass from feature set</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B3: In-sample weight optimisation</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Hybrid weights tuned and evaluated on identical 746-sample set</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Optimistically biased MRR</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5-fold CV: weights selected on training fold, evaluated on held-out test fold</w:t>
            </w:r>
          </w:p>
        </w:tc>
      </w:tr>
    </w:tbl>
    <w:p>
      <w:pPr>
        <w:spacing w:after="60" w:before="60"/>
      </w:pPr>
      <w:r>
        <w:rPr>
          <w:sz w:val="22"/>
          <w:szCs w:val="22"/>
        </w:rPr>
        <w:t xml:space="preserve"/>
      </w:r>
    </w:p>
    <w:p>
      <w:pPr>
        <w:spacing w:after="60" w:before="60" w:line="276"/>
        <w:ind w:firstLine="440"/>
        <w:jc w:val="both"/>
      </w:pPr>
      <w:r>
        <w:rPr>
          <w:rFonts w:ascii="Times New Roman" w:cs="Times New Roman" w:eastAsia="Times New Roman" w:hAnsi="Times New Roman"/>
          <w:color w:val="000000"/>
          <w:sz w:val="22"/>
          <w:szCs w:val="22"/>
        </w:rPr>
        <w:t xml:space="preserve">Bug B1 (label leakage) is the most severe: the original family labels were assigned by thresholding geometric_complexity, a feature present in the retrieval feature set. A Decision Tree trained on geometric features achieved 99.87% accuracy on these labels — effectively recovering the labelling rule. Any system that uses geometric features would trivially perform well on this evaluation. After correcting to contact-topology labels, Decision Tree accuracy drops to 40.7%, confirming independence.</w:t>
      </w:r>
    </w:p>
    <w:p>
      <w:pPr>
        <w:spacing w:after="60" w:before="60" w:line="276"/>
        <w:ind w:firstLine="440"/>
        <w:jc w:val="both"/>
      </w:pPr>
      <w:r>
        <w:rPr>
          <w:rFonts w:ascii="Times New Roman" w:cs="Times New Roman" w:eastAsia="Times New Roman" w:hAnsi="Times New Roman"/>
          <w:color w:val="000000"/>
          <w:sz w:val="22"/>
          <w:szCs w:val="22"/>
        </w:rPr>
        <w:t xml:space="preserve">Bug B3 (in-sample weight optimisation) is subtler but also consequential: when hybrid weights are selected by grid search over the full dataset and evaluated on the same dataset, even a trivial weight shift can produce a numerical improvement that does not generalise. Our correction is 5-fold cross-validation with weight selection exclusively on training data.</w:t>
      </w:r>
    </w:p>
    <w:p>
      <w:pPr>
        <w:pStyle w:val="Heading2"/>
        <w:spacing w:after="80" w:before="200"/>
      </w:pPr>
      <w:r>
        <w:rPr>
          <w:rFonts w:ascii="Arial" w:cs="Arial" w:eastAsia="Arial" w:hAnsi="Arial"/>
          <w:b/>
          <w:bCs/>
          <w:color w:val="000000"/>
          <w:sz w:val="24"/>
          <w:szCs w:val="24"/>
        </w:rPr>
        <w:t xml:space="preserve">4.4 Hybrid Similarity Fusion</w:t>
      </w:r>
    </w:p>
    <w:p>
      <w:pPr>
        <w:spacing w:after="60" w:before="60" w:line="276"/>
        <w:ind w:firstLine="440"/>
        <w:jc w:val="both"/>
      </w:pPr>
      <w:r>
        <w:rPr>
          <w:rFonts w:ascii="Times New Roman" w:cs="Times New Roman" w:eastAsia="Times New Roman" w:hAnsi="Times New Roman"/>
          <w:color w:val="000000"/>
          <w:sz w:val="22"/>
          <w:szCs w:val="22"/>
        </w:rPr>
        <w:t xml:space="preserve">The hybrid similarity is a weighted linear combination of Technical and Semantic similarity matrices:</w:t>
      </w:r>
    </w:p>
    <w:p>
      <w:pPr>
        <w:spacing w:after="80" w:before="80"/>
        <w:jc w:val="center"/>
      </w:pPr>
      <w:r>
        <w:rPr>
          <w:rFonts w:ascii="Times New Roman" w:cs="Times New Roman" w:eastAsia="Times New Roman" w:hAnsi="Times New Roman"/>
          <w:i/>
          <w:iCs/>
          <w:sz w:val="22"/>
          <w:szCs w:val="22"/>
        </w:rPr>
        <w:t xml:space="preserve">S_hybrid(i, j) = α · S_tech(i, j) + β · S_sem(i, j),   α + β = 1,  α, β ≥ 0</w:t>
      </w:r>
    </w:p>
    <w:p>
      <w:pPr>
        <w:spacing w:after="60" w:before="60" w:line="276"/>
        <w:ind w:firstLine="440"/>
        <w:jc w:val="both"/>
      </w:pPr>
      <w:r>
        <w:rPr>
          <w:rFonts w:ascii="Times New Roman" w:cs="Times New Roman" w:eastAsia="Times New Roman" w:hAnsi="Times New Roman"/>
          <w:color w:val="000000"/>
          <w:sz w:val="22"/>
          <w:szCs w:val="22"/>
        </w:rPr>
        <w:t xml:space="preserve">where α controls the contribution of geometric similarity and β controls the contribution of semantic (material) similarity. The structural domain is excluded (γ = 0).</w:t>
      </w:r>
    </w:p>
    <w:p>
      <w:pPr>
        <w:pStyle w:val="Heading2"/>
        <w:spacing w:after="80" w:before="200"/>
      </w:pPr>
      <w:r>
        <w:rPr>
          <w:rFonts w:ascii="Arial" w:cs="Arial" w:eastAsia="Arial" w:hAnsi="Arial"/>
          <w:b/>
          <w:bCs/>
          <w:color w:val="000000"/>
          <w:sz w:val="24"/>
          <w:szCs w:val="24"/>
        </w:rPr>
        <w:t xml:space="preserve">4.5 Cross-Validated Weight Selection</w:t>
      </w:r>
    </w:p>
    <w:p>
      <w:pPr>
        <w:spacing w:after="60" w:before="60" w:line="276"/>
        <w:ind w:firstLine="440"/>
        <w:jc w:val="both"/>
      </w:pPr>
      <w:r>
        <w:rPr>
          <w:rFonts w:ascii="Times New Roman" w:cs="Times New Roman" w:eastAsia="Times New Roman" w:hAnsi="Times New Roman"/>
          <w:color w:val="000000"/>
          <w:sz w:val="22"/>
          <w:szCs w:val="22"/>
        </w:rPr>
        <w:t xml:space="preserve">Weights (α, β) are selected by grid search over {0.0, 0.1, ..., 1.0} × {1.0 − α} on the training fold of each cross-validation split, maximising MRR on training queries. The selected weights are then applied to the held-out test fold for unbiased evaluation. This procedure ensures that performance estimates reflect generalisation, not memorisation of the evaluation set.</w:t>
      </w:r>
    </w:p>
    <w:p>
      <w:pPr>
        <w:pStyle w:val="Heading2"/>
        <w:spacing w:after="80" w:before="200"/>
      </w:pPr>
      <w:r>
        <w:rPr>
          <w:rFonts w:ascii="Arial" w:cs="Arial" w:eastAsia="Arial" w:hAnsi="Arial"/>
          <w:b/>
          <w:bCs/>
          <w:color w:val="000000"/>
          <w:sz w:val="24"/>
          <w:szCs w:val="24"/>
        </w:rPr>
        <w:t xml:space="preserve">4.6 Evaluation Metrics</w:t>
      </w:r>
    </w:p>
    <w:p>
      <w:pPr>
        <w:spacing w:after="60" w:before="60" w:line="276"/>
        <w:ind w:firstLine="440"/>
        <w:jc w:val="both"/>
      </w:pPr>
      <w:r>
        <w:rPr>
          <w:rFonts w:ascii="Times New Roman" w:cs="Times New Roman" w:eastAsia="Times New Roman" w:hAnsi="Times New Roman"/>
          <w:color w:val="000000"/>
          <w:sz w:val="22"/>
          <w:szCs w:val="22"/>
        </w:rPr>
        <w:t xml:space="preserve">We report Mean Reciprocal Rank (MRR) and Precision@5 (P@5). MRR rewards systems that rank the first relevant result highly; P@5 rewards systems that place multiple relevant results in the top five. For each query assembly, relevant assemblies are those with the same topo_family label. The query assembly itself is excluded from the candidate set. All metrics are macro-averaged over queries within each test fold, then averaged across folds.</w:t>
      </w:r>
    </w:p>
    <w:p>
      <w:pPr>
        <w:spacing w:after="60" w:before="60" w:line="276"/>
        <w:ind w:firstLine="440"/>
        <w:jc w:val="both"/>
      </w:pPr>
      <w:r>
        <w:rPr>
          <w:rFonts w:ascii="Times New Roman" w:cs="Times New Roman" w:eastAsia="Times New Roman" w:hAnsi="Times New Roman"/>
          <w:color w:val="000000"/>
          <w:sz w:val="22"/>
          <w:szCs w:val="22"/>
        </w:rPr>
        <w:t xml:space="preserve">Statistical significance is assessed using the Wilcoxon signed-rank test on per-query reciprocal rank scores. Effect size is reported as Cohen's d. Given n=746 queries, p &lt; 0.05 is achievable for trivially small effects; we emphasise Cohen's d as the primary indicator of practical significance.</w:t>
      </w:r>
    </w:p>
    <w:p>
      <w:pPr>
        <w:spacing w:after="60" w:before="60"/>
      </w:pPr>
      <w:r>
        <w:rPr>
          <w:sz w:val="22"/>
          <w:szCs w:val="22"/>
        </w:rPr>
        <w:t xml:space="preserve"/>
      </w:r>
    </w:p>
    <w:p>
      <w:pPr>
        <w:pStyle w:val="Heading1"/>
        <w:spacing w:after="120" w:before="280"/>
      </w:pPr>
      <w:r>
        <w:rPr>
          <w:rFonts w:ascii="Arial" w:cs="Arial" w:eastAsia="Arial" w:hAnsi="Arial"/>
          <w:b/>
          <w:bCs/>
          <w:color w:val="000000"/>
          <w:sz w:val="26"/>
          <w:szCs w:val="26"/>
        </w:rPr>
        <w:t xml:space="preserve">5. Results</w:t>
      </w:r>
    </w:p>
    <w:p>
      <w:pPr>
        <w:pStyle w:val="Heading2"/>
        <w:spacing w:after="80" w:before="200"/>
      </w:pPr>
      <w:r>
        <w:rPr>
          <w:rFonts w:ascii="Arial" w:cs="Arial" w:eastAsia="Arial" w:hAnsi="Arial"/>
          <w:b/>
          <w:bCs/>
          <w:color w:val="000000"/>
          <w:sz w:val="24"/>
          <w:szCs w:val="24"/>
        </w:rPr>
        <w:t xml:space="preserve">5.1 Cross-Validated Retrieval Performance</w:t>
      </w:r>
    </w:p>
    <w:p>
      <w:pPr>
        <w:spacing w:after="60" w:before="60" w:line="276"/>
        <w:ind w:firstLine="440"/>
        <w:jc w:val="both"/>
      </w:pPr>
      <w:r>
        <w:rPr>
          <w:rFonts w:ascii="Times New Roman" w:cs="Times New Roman" w:eastAsia="Times New Roman" w:hAnsi="Times New Roman"/>
          <w:color w:val="000000"/>
          <w:sz w:val="22"/>
          <w:szCs w:val="22"/>
        </w:rPr>
        <w:t xml:space="preserve">Table 3 presents the main results across all methods under 5-fold cross-validated evaluation. Semantic similarity achieves the highest MRR (0.368), matching the CV-optimal hybrid. Technical similarity achieves the highest P@5 (0.270). The hybrid, after CV weight selection, is identical to pure semantic on both metrics because the grid search consistently selects α=0.0 in every fold.</w:t>
      </w:r>
    </w:p>
    <w:p>
      <w:pPr>
        <w:spacing w:after="60" w:before="60"/>
      </w:pPr>
      <w:r>
        <w:rPr>
          <w:sz w:val="22"/>
          <w:szCs w:val="22"/>
        </w:rPr>
        <w:t xml:space="preserve"/>
      </w:r>
    </w:p>
    <w:p>
      <w:pPr>
        <w:spacing w:after="60" w:before="120"/>
        <w:jc w:val="center"/>
      </w:pPr>
      <w:r>
        <w:rPr>
          <w:rFonts w:ascii="Times New Roman" w:cs="Times New Roman" w:eastAsia="Times New Roman" w:hAnsi="Times New Roman"/>
          <w:b/>
          <w:bCs/>
          <w:sz w:val="20"/>
          <w:szCs w:val="20"/>
        </w:rPr>
        <w:t xml:space="preserve">Table 3. </w:t>
      </w:r>
      <w:r>
        <w:rPr>
          <w:rFonts w:ascii="Times New Roman" w:cs="Times New Roman" w:eastAsia="Times New Roman" w:hAnsi="Times New Roman"/>
          <w:i/>
          <w:iCs/>
          <w:sz w:val="20"/>
          <w:szCs w:val="20"/>
        </w:rPr>
        <w:t xml:space="preserve">Cross-validated retrieval performance (5-fold). All numbers are mean ± std across folds. Bold indicates best per metric. Random baseline MRR computed analytically.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1800"/>
        <w:gridCol w:w="1800"/>
      </w:tblGrid>
      <w:tr>
        <w:trPr>
          <w:tblHeader/>
        </w:trPr>
        <w:tc>
          <w:tcPr>
            <w:tcW w:type="dxa" w:w="2400"/>
            <w:tcBorders>
              <w:top w:val="single" w:color="AAAAAA" w:sz="1"/>
              <w:left w:val="single" w:color="AAAAAA" w:sz="1"/>
              <w:bottom w:val="single" w:color="AAAAAA" w:sz="1"/>
              <w:right w:val="single" w:color="AAAAAA" w:sz="1"/>
            </w:tcBorders>
            <w:shd w:fill="DDEEFF"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18"/>
                <w:szCs w:val="18"/>
              </w:rPr>
              <w:t xml:space="preserve">Method</w:t>
            </w:r>
          </w:p>
        </w:tc>
        <w:tc>
          <w:tcPr>
            <w:tcW w:type="dxa" w:w="1800"/>
            <w:tcBorders>
              <w:top w:val="single" w:color="AAAAAA" w:sz="1"/>
              <w:left w:val="single" w:color="AAAAAA" w:sz="1"/>
              <w:bottom w:val="single" w:color="AAAAAA" w:sz="1"/>
              <w:right w:val="single" w:color="AAAAAA" w:sz="1"/>
            </w:tcBorders>
            <w:shd w:fill="DDEEFF"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CV MRR</w:t>
            </w:r>
          </w:p>
        </w:tc>
        <w:tc>
          <w:tcPr>
            <w:tcW w:type="dxa" w:w="1800"/>
            <w:tcBorders>
              <w:top w:val="single" w:color="AAAAAA" w:sz="1"/>
              <w:left w:val="single" w:color="AAAAAA" w:sz="1"/>
              <w:bottom w:val="single" w:color="AAAAAA" w:sz="1"/>
              <w:right w:val="single" w:color="AAAAAA" w:sz="1"/>
            </w:tcBorders>
            <w:shd w:fill="DDEEFF"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CV MRR SD</w:t>
            </w:r>
          </w:p>
        </w:tc>
        <w:tc>
          <w:tcPr>
            <w:tcW w:type="dxa" w:w="1800"/>
            <w:tcBorders>
              <w:top w:val="single" w:color="AAAAAA" w:sz="1"/>
              <w:left w:val="single" w:color="AAAAAA" w:sz="1"/>
              <w:bottom w:val="single" w:color="AAAAAA" w:sz="1"/>
              <w:right w:val="single" w:color="AAAAAA" w:sz="1"/>
            </w:tcBorders>
            <w:shd w:fill="DDEEFF"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CV P@5</w:t>
            </w:r>
          </w:p>
        </w:tc>
        <w:tc>
          <w:tcPr>
            <w:tcW w:type="dxa" w:w="1800"/>
            <w:tcBorders>
              <w:top w:val="single" w:color="AAAAAA" w:sz="1"/>
              <w:left w:val="single" w:color="AAAAAA" w:sz="1"/>
              <w:bottom w:val="single" w:color="AAAAAA" w:sz="1"/>
              <w:right w:val="single" w:color="AAAAAA" w:sz="1"/>
            </w:tcBorders>
            <w:shd w:fill="DDEEFF"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CV P@5 SD</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18"/>
                <w:szCs w:val="18"/>
              </w:rPr>
              <w:t xml:space="preserve">Hybrid (Tech+Sem, CV)</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0.368</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±0.022</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0.173</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±0.011</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Technical (geometric only)</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0.308</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±0.011</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0.270</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±0.015</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Semantic (material ontology)</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0.368</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±0.022</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0.173</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±0.011</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Random baseline</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0.392</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w:t>
            </w:r>
          </w:p>
        </w:tc>
      </w:tr>
    </w:tbl>
    <w:p>
      <w:pPr>
        <w:spacing w:after="60" w:before="60"/>
      </w:pPr>
      <w:r>
        <w:rPr>
          <w:sz w:val="22"/>
          <w:szCs w:val="22"/>
        </w:rPr>
        <w:t xml:space="preserve"/>
      </w:r>
    </w:p>
    <w:p>
      <w:pPr>
        <w:spacing w:after="60" w:before="60" w:line="276"/>
        <w:ind w:firstLine="440"/>
        <w:jc w:val="both"/>
      </w:pPr>
      <w:r>
        <w:rPr>
          <w:rFonts w:ascii="Times New Roman" w:cs="Times New Roman" w:eastAsia="Times New Roman" w:hAnsi="Times New Roman"/>
          <w:color w:val="000000"/>
          <w:sz w:val="22"/>
          <w:szCs w:val="22"/>
        </w:rPr>
        <w:t xml:space="preserve">Note that the random MRR baseline (0.392) exceeds all learned methods. This reflects the dataset's label distribution: with 5 families and class sizes between 128 and 174, the expected MRR of a random ranker is non-trivially high. Low absolute performance is therefore a dataset characteristic (geometric homogeneity) rather than a method failure.</w:t>
      </w:r>
    </w:p>
    <w:p>
      <w:pPr>
        <w:pStyle w:val="Heading2"/>
        <w:spacing w:after="80" w:before="200"/>
      </w:pPr>
      <w:r>
        <w:rPr>
          <w:rFonts w:ascii="Arial" w:cs="Arial" w:eastAsia="Arial" w:hAnsi="Arial"/>
          <w:b/>
          <w:bCs/>
          <w:color w:val="000000"/>
          <w:sz w:val="24"/>
          <w:szCs w:val="24"/>
        </w:rPr>
        <w:t xml:space="preserve">5.2 Cross-Validated Weight Analysis</w:t>
      </w:r>
    </w:p>
    <w:p>
      <w:pPr>
        <w:spacing w:after="60" w:before="60" w:line="276"/>
        <w:ind w:firstLine="440"/>
        <w:jc w:val="both"/>
      </w:pPr>
      <w:r>
        <w:rPr>
          <w:rFonts w:ascii="Times New Roman" w:cs="Times New Roman" w:eastAsia="Times New Roman" w:hAnsi="Times New Roman"/>
          <w:color w:val="000000"/>
          <w:sz w:val="22"/>
          <w:szCs w:val="22"/>
        </w:rPr>
        <w:t xml:space="preserve">Table 4 shows the weights selected per fold and the resulting MRR. In all five folds, the optimiser selects α=0.0, β=1.0 — pure semantic. This result is consistent and unambiguous: when evaluated on contact-topology labels, material type is uniformly more informative than geometric parameters for first-rank retrieval. The mean ΔMRR (Hybrid − Technical) is +0.060 across folds.</w:t>
      </w:r>
    </w:p>
    <w:p>
      <w:pPr>
        <w:spacing w:after="60" w:before="60"/>
      </w:pPr>
      <w:r>
        <w:rPr>
          <w:sz w:val="22"/>
          <w:szCs w:val="22"/>
        </w:rPr>
        <w:t xml:space="preserve"/>
      </w:r>
    </w:p>
    <w:p>
      <w:pPr>
        <w:spacing w:after="60" w:before="120"/>
        <w:jc w:val="center"/>
      </w:pPr>
      <w:r>
        <w:rPr>
          <w:rFonts w:ascii="Times New Roman" w:cs="Times New Roman" w:eastAsia="Times New Roman" w:hAnsi="Times New Roman"/>
          <w:b/>
          <w:bCs/>
          <w:sz w:val="20"/>
          <w:szCs w:val="20"/>
        </w:rPr>
        <w:t xml:space="preserve">Table 4. </w:t>
      </w:r>
      <w:r>
        <w:rPr>
          <w:rFonts w:ascii="Times New Roman" w:cs="Times New Roman" w:eastAsia="Times New Roman" w:hAnsi="Times New Roman"/>
          <w:i/>
          <w:iCs/>
          <w:sz w:val="20"/>
          <w:szCs w:val="20"/>
        </w:rPr>
        <w:t xml:space="preserve">Per-fold cross-validated weight selection results. α = weight on Technical similarity; β = weight on Semantic similarity.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1200"/>
        <w:gridCol w:w="1200"/>
        <w:gridCol w:w="1800"/>
        <w:gridCol w:w="1800"/>
        <w:gridCol w:w="1800"/>
      </w:tblGrid>
      <w:tr>
        <w:trPr>
          <w:tblHeader/>
        </w:trPr>
        <w:tc>
          <w:tcPr>
            <w:tcW w:type="dxa" w:w="900"/>
            <w:tcBorders>
              <w:top w:val="single" w:color="AAAAAA" w:sz="1"/>
              <w:left w:val="single" w:color="AAAAAA" w:sz="1"/>
              <w:bottom w:val="single" w:color="AAAAAA" w:sz="1"/>
              <w:right w:val="single" w:color="AAAAAA" w:sz="1"/>
            </w:tcBorders>
            <w:shd w:fill="DDEEFF" w:val="clear"/>
            <w:tcMar>
              <w:top w:type="dxa" w:w="60"/>
              <w:left w:type="dxa" w:w="80"/>
              <w:bottom w:type="dxa" w:w="60"/>
              <w:right w:type="dxa" w:w="80"/>
            </w:tcMar>
          </w:tcPr>
          <w:p>
            <w:pPr>
              <w:jc w:val="center"/>
            </w:pPr>
            <w:r>
              <w:rPr>
                <w:rFonts w:ascii="Times New Roman" w:cs="Times New Roman" w:eastAsia="Times New Roman" w:hAnsi="Times New Roman"/>
                <w:b/>
                <w:bCs/>
                <w:sz w:val="17"/>
                <w:szCs w:val="17"/>
              </w:rPr>
              <w:t xml:space="preserve">Fold</w:t>
            </w:r>
          </w:p>
        </w:tc>
        <w:tc>
          <w:tcPr>
            <w:tcW w:type="dxa" w:w="1200"/>
            <w:tcBorders>
              <w:top w:val="single" w:color="AAAAAA" w:sz="1"/>
              <w:left w:val="single" w:color="AAAAAA" w:sz="1"/>
              <w:bottom w:val="single" w:color="AAAAAA" w:sz="1"/>
              <w:right w:val="single" w:color="AAAAAA" w:sz="1"/>
            </w:tcBorders>
            <w:shd w:fill="DDEEFF" w:val="clear"/>
            <w:tcMar>
              <w:top w:type="dxa" w:w="60"/>
              <w:left w:type="dxa" w:w="80"/>
              <w:bottom w:type="dxa" w:w="60"/>
              <w:right w:type="dxa" w:w="80"/>
            </w:tcMar>
          </w:tcPr>
          <w:p>
            <w:pPr>
              <w:jc w:val="center"/>
            </w:pPr>
            <w:r>
              <w:rPr>
                <w:rFonts w:ascii="Times New Roman" w:cs="Times New Roman" w:eastAsia="Times New Roman" w:hAnsi="Times New Roman"/>
                <w:b/>
                <w:bCs/>
                <w:sz w:val="17"/>
                <w:szCs w:val="17"/>
              </w:rPr>
              <w:t xml:space="preserve">α (Tech)</w:t>
            </w:r>
          </w:p>
        </w:tc>
        <w:tc>
          <w:tcPr>
            <w:tcW w:type="dxa" w:w="1200"/>
            <w:tcBorders>
              <w:top w:val="single" w:color="AAAAAA" w:sz="1"/>
              <w:left w:val="single" w:color="AAAAAA" w:sz="1"/>
              <w:bottom w:val="single" w:color="AAAAAA" w:sz="1"/>
              <w:right w:val="single" w:color="AAAAAA" w:sz="1"/>
            </w:tcBorders>
            <w:shd w:fill="DDEEFF" w:val="clear"/>
            <w:tcMar>
              <w:top w:type="dxa" w:w="60"/>
              <w:left w:type="dxa" w:w="80"/>
              <w:bottom w:type="dxa" w:w="60"/>
              <w:right w:type="dxa" w:w="80"/>
            </w:tcMar>
          </w:tcPr>
          <w:p>
            <w:pPr>
              <w:jc w:val="center"/>
            </w:pPr>
            <w:r>
              <w:rPr>
                <w:rFonts w:ascii="Times New Roman" w:cs="Times New Roman" w:eastAsia="Times New Roman" w:hAnsi="Times New Roman"/>
                <w:b/>
                <w:bCs/>
                <w:sz w:val="17"/>
                <w:szCs w:val="17"/>
              </w:rPr>
              <w:t xml:space="preserve">β (Sem)</w:t>
            </w:r>
          </w:p>
        </w:tc>
        <w:tc>
          <w:tcPr>
            <w:tcW w:type="dxa" w:w="1200"/>
            <w:tcBorders>
              <w:top w:val="single" w:color="AAAAAA" w:sz="1"/>
              <w:left w:val="single" w:color="AAAAAA" w:sz="1"/>
              <w:bottom w:val="single" w:color="AAAAAA" w:sz="1"/>
              <w:right w:val="single" w:color="AAAAAA" w:sz="1"/>
            </w:tcBorders>
            <w:shd w:fill="DDEEFF" w:val="clear"/>
            <w:tcMar>
              <w:top w:type="dxa" w:w="60"/>
              <w:left w:type="dxa" w:w="80"/>
              <w:bottom w:type="dxa" w:w="60"/>
              <w:right w:type="dxa" w:w="80"/>
            </w:tcMar>
          </w:tcPr>
          <w:p>
            <w:pPr>
              <w:jc w:val="center"/>
            </w:pPr>
            <w:r>
              <w:rPr>
                <w:rFonts w:ascii="Times New Roman" w:cs="Times New Roman" w:eastAsia="Times New Roman" w:hAnsi="Times New Roman"/>
                <w:b/>
                <w:bCs/>
                <w:sz w:val="17"/>
                <w:szCs w:val="17"/>
              </w:rPr>
              <w:t xml:space="preserve">MRR Hybrid</w:t>
            </w:r>
          </w:p>
        </w:tc>
        <w:tc>
          <w:tcPr>
            <w:tcW w:type="dxa" w:w="1800"/>
            <w:tcBorders>
              <w:top w:val="single" w:color="AAAAAA" w:sz="1"/>
              <w:left w:val="single" w:color="AAAAAA" w:sz="1"/>
              <w:bottom w:val="single" w:color="AAAAAA" w:sz="1"/>
              <w:right w:val="single" w:color="AAAAAA" w:sz="1"/>
            </w:tcBorders>
            <w:shd w:fill="DDEEFF" w:val="clear"/>
            <w:tcMar>
              <w:top w:type="dxa" w:w="60"/>
              <w:left w:type="dxa" w:w="80"/>
              <w:bottom w:type="dxa" w:w="60"/>
              <w:right w:type="dxa" w:w="80"/>
            </w:tcMar>
          </w:tcPr>
          <w:p>
            <w:pPr>
              <w:jc w:val="center"/>
            </w:pPr>
            <w:r>
              <w:rPr>
                <w:rFonts w:ascii="Times New Roman" w:cs="Times New Roman" w:eastAsia="Times New Roman" w:hAnsi="Times New Roman"/>
                <w:b/>
                <w:bCs/>
                <w:sz w:val="17"/>
                <w:szCs w:val="17"/>
              </w:rPr>
              <w:t xml:space="preserve">MRR Technical</w:t>
            </w:r>
          </w:p>
        </w:tc>
        <w:tc>
          <w:tcPr>
            <w:tcW w:type="dxa" w:w="1800"/>
            <w:tcBorders>
              <w:top w:val="single" w:color="AAAAAA" w:sz="1"/>
              <w:left w:val="single" w:color="AAAAAA" w:sz="1"/>
              <w:bottom w:val="single" w:color="AAAAAA" w:sz="1"/>
              <w:right w:val="single" w:color="AAAAAA" w:sz="1"/>
            </w:tcBorders>
            <w:shd w:fill="DDEEFF" w:val="clear"/>
            <w:tcMar>
              <w:top w:type="dxa" w:w="60"/>
              <w:left w:type="dxa" w:w="80"/>
              <w:bottom w:type="dxa" w:w="60"/>
              <w:right w:type="dxa" w:w="80"/>
            </w:tcMar>
          </w:tcPr>
          <w:p>
            <w:pPr>
              <w:jc w:val="center"/>
            </w:pPr>
            <w:r>
              <w:rPr>
                <w:rFonts w:ascii="Times New Roman" w:cs="Times New Roman" w:eastAsia="Times New Roman" w:hAnsi="Times New Roman"/>
                <w:b/>
                <w:bCs/>
                <w:sz w:val="17"/>
                <w:szCs w:val="17"/>
              </w:rPr>
              <w:t xml:space="preserve">MRR Semantic</w:t>
            </w:r>
          </w:p>
        </w:tc>
        <w:tc>
          <w:tcPr>
            <w:tcW w:type="dxa" w:w="1800"/>
            <w:tcBorders>
              <w:top w:val="single" w:color="AAAAAA" w:sz="1"/>
              <w:left w:val="single" w:color="AAAAAA" w:sz="1"/>
              <w:bottom w:val="single" w:color="AAAAAA" w:sz="1"/>
              <w:right w:val="single" w:color="AAAAAA" w:sz="1"/>
            </w:tcBorders>
            <w:shd w:fill="DDEEFF" w:val="clear"/>
            <w:tcMar>
              <w:top w:type="dxa" w:w="60"/>
              <w:left w:type="dxa" w:w="80"/>
              <w:bottom w:type="dxa" w:w="60"/>
              <w:right w:type="dxa" w:w="80"/>
            </w:tcMar>
          </w:tcPr>
          <w:p>
            <w:pPr>
              <w:jc w:val="center"/>
            </w:pPr>
            <w:r>
              <w:rPr>
                <w:rFonts w:ascii="Times New Roman" w:cs="Times New Roman" w:eastAsia="Times New Roman" w:hAnsi="Times New Roman"/>
                <w:b/>
                <w:bCs/>
                <w:sz w:val="17"/>
                <w:szCs w:val="17"/>
              </w:rPr>
              <w:t xml:space="preserve">ΔMRR (H−T)</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left"/>
            </w:pPr>
            <w:r>
              <w:rPr>
                <w:rFonts w:ascii="Times New Roman" w:cs="Times New Roman" w:eastAsia="Times New Roman" w:hAnsi="Times New Roman"/>
                <w:b w:val="false"/>
                <w:bCs w:val="false"/>
                <w:sz w:val="17"/>
                <w:szCs w:val="17"/>
              </w:rPr>
              <w:t xml:space="preserve">1</w:t>
            </w:r>
          </w:p>
        </w:tc>
        <w:tc>
          <w:tcPr>
            <w:tcW w:type="dxa" w:w="12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7"/>
                <w:szCs w:val="17"/>
              </w:rPr>
              <w:t xml:space="preserve">0.0</w:t>
            </w:r>
          </w:p>
        </w:tc>
        <w:tc>
          <w:tcPr>
            <w:tcW w:type="dxa" w:w="12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7"/>
                <w:szCs w:val="17"/>
              </w:rPr>
              <w:t xml:space="preserve">1.0</w:t>
            </w:r>
          </w:p>
        </w:tc>
        <w:tc>
          <w:tcPr>
            <w:tcW w:type="dxa" w:w="12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7"/>
                <w:szCs w:val="17"/>
              </w:rPr>
              <w:t xml:space="preserve">0.376</w:t>
            </w:r>
          </w:p>
        </w:tc>
        <w:tc>
          <w:tcPr>
            <w:tcW w:type="dxa" w:w="18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7"/>
                <w:szCs w:val="17"/>
              </w:rPr>
              <w:t xml:space="preserve">0.314</w:t>
            </w:r>
          </w:p>
        </w:tc>
        <w:tc>
          <w:tcPr>
            <w:tcW w:type="dxa" w:w="18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7"/>
                <w:szCs w:val="17"/>
              </w:rPr>
              <w:t xml:space="preserve">0.376</w:t>
            </w:r>
          </w:p>
        </w:tc>
        <w:tc>
          <w:tcPr>
            <w:tcW w:type="dxa" w:w="18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7"/>
                <w:szCs w:val="17"/>
              </w:rPr>
              <w:t xml:space="preserve">+0.063</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left"/>
            </w:pPr>
            <w:r>
              <w:rPr>
                <w:rFonts w:ascii="Times New Roman" w:cs="Times New Roman" w:eastAsia="Times New Roman" w:hAnsi="Times New Roman"/>
                <w:b w:val="false"/>
                <w:bCs w:val="false"/>
                <w:sz w:val="17"/>
                <w:szCs w:val="17"/>
              </w:rPr>
              <w:t xml:space="preserve">2</w:t>
            </w:r>
          </w:p>
        </w:tc>
        <w:tc>
          <w:tcPr>
            <w:tcW w:type="dxa" w:w="12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7"/>
                <w:szCs w:val="17"/>
              </w:rPr>
              <w:t xml:space="preserve">0.0</w:t>
            </w:r>
          </w:p>
        </w:tc>
        <w:tc>
          <w:tcPr>
            <w:tcW w:type="dxa" w:w="12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7"/>
                <w:szCs w:val="17"/>
              </w:rPr>
              <w:t xml:space="preserve">1.0</w:t>
            </w:r>
          </w:p>
        </w:tc>
        <w:tc>
          <w:tcPr>
            <w:tcW w:type="dxa" w:w="12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7"/>
                <w:szCs w:val="17"/>
              </w:rPr>
              <w:t xml:space="preserve">0.351</w:t>
            </w:r>
          </w:p>
        </w:tc>
        <w:tc>
          <w:tcPr>
            <w:tcW w:type="dxa" w:w="18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7"/>
                <w:szCs w:val="17"/>
              </w:rPr>
              <w:t xml:space="preserve">0.311</w:t>
            </w:r>
          </w:p>
        </w:tc>
        <w:tc>
          <w:tcPr>
            <w:tcW w:type="dxa" w:w="18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7"/>
                <w:szCs w:val="17"/>
              </w:rPr>
              <w:t xml:space="preserve">0.351</w:t>
            </w:r>
          </w:p>
        </w:tc>
        <w:tc>
          <w:tcPr>
            <w:tcW w:type="dxa" w:w="18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7"/>
                <w:szCs w:val="17"/>
              </w:rPr>
              <w:t xml:space="preserve">+0.040</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left"/>
            </w:pPr>
            <w:r>
              <w:rPr>
                <w:rFonts w:ascii="Times New Roman" w:cs="Times New Roman" w:eastAsia="Times New Roman" w:hAnsi="Times New Roman"/>
                <w:b w:val="false"/>
                <w:bCs w:val="false"/>
                <w:sz w:val="17"/>
                <w:szCs w:val="17"/>
              </w:rPr>
              <w:t xml:space="preserve">3</w:t>
            </w:r>
          </w:p>
        </w:tc>
        <w:tc>
          <w:tcPr>
            <w:tcW w:type="dxa" w:w="12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7"/>
                <w:szCs w:val="17"/>
              </w:rPr>
              <w:t xml:space="preserve">0.0</w:t>
            </w:r>
          </w:p>
        </w:tc>
        <w:tc>
          <w:tcPr>
            <w:tcW w:type="dxa" w:w="12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7"/>
                <w:szCs w:val="17"/>
              </w:rPr>
              <w:t xml:space="preserve">1.0</w:t>
            </w:r>
          </w:p>
        </w:tc>
        <w:tc>
          <w:tcPr>
            <w:tcW w:type="dxa" w:w="12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7"/>
                <w:szCs w:val="17"/>
              </w:rPr>
              <w:t xml:space="preserve">0.342</w:t>
            </w:r>
          </w:p>
        </w:tc>
        <w:tc>
          <w:tcPr>
            <w:tcW w:type="dxa" w:w="18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7"/>
                <w:szCs w:val="17"/>
              </w:rPr>
              <w:t xml:space="preserve">0.290</w:t>
            </w:r>
          </w:p>
        </w:tc>
        <w:tc>
          <w:tcPr>
            <w:tcW w:type="dxa" w:w="18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7"/>
                <w:szCs w:val="17"/>
              </w:rPr>
              <w:t xml:space="preserve">0.342</w:t>
            </w:r>
          </w:p>
        </w:tc>
        <w:tc>
          <w:tcPr>
            <w:tcW w:type="dxa" w:w="18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7"/>
                <w:szCs w:val="17"/>
              </w:rPr>
              <w:t xml:space="preserve">+0.051</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left"/>
            </w:pPr>
            <w:r>
              <w:rPr>
                <w:rFonts w:ascii="Times New Roman" w:cs="Times New Roman" w:eastAsia="Times New Roman" w:hAnsi="Times New Roman"/>
                <w:b w:val="false"/>
                <w:bCs w:val="false"/>
                <w:sz w:val="17"/>
                <w:szCs w:val="17"/>
              </w:rPr>
              <w:t xml:space="preserve">4</w:t>
            </w:r>
          </w:p>
        </w:tc>
        <w:tc>
          <w:tcPr>
            <w:tcW w:type="dxa" w:w="12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7"/>
                <w:szCs w:val="17"/>
              </w:rPr>
              <w:t xml:space="preserve">0.0</w:t>
            </w:r>
          </w:p>
        </w:tc>
        <w:tc>
          <w:tcPr>
            <w:tcW w:type="dxa" w:w="12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7"/>
                <w:szCs w:val="17"/>
              </w:rPr>
              <w:t xml:space="preserve">1.0</w:t>
            </w:r>
          </w:p>
        </w:tc>
        <w:tc>
          <w:tcPr>
            <w:tcW w:type="dxa" w:w="12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7"/>
                <w:szCs w:val="17"/>
              </w:rPr>
              <w:t xml:space="preserve">0.396</w:t>
            </w:r>
          </w:p>
        </w:tc>
        <w:tc>
          <w:tcPr>
            <w:tcW w:type="dxa" w:w="18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7"/>
                <w:szCs w:val="17"/>
              </w:rPr>
              <w:t xml:space="preserve">0.317</w:t>
            </w:r>
          </w:p>
        </w:tc>
        <w:tc>
          <w:tcPr>
            <w:tcW w:type="dxa" w:w="18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7"/>
                <w:szCs w:val="17"/>
              </w:rPr>
              <w:t xml:space="preserve">0.396</w:t>
            </w:r>
          </w:p>
        </w:tc>
        <w:tc>
          <w:tcPr>
            <w:tcW w:type="dxa" w:w="18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7"/>
                <w:szCs w:val="17"/>
              </w:rPr>
              <w:t xml:space="preserve">+0.078</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left"/>
            </w:pPr>
            <w:r>
              <w:rPr>
                <w:rFonts w:ascii="Times New Roman" w:cs="Times New Roman" w:eastAsia="Times New Roman" w:hAnsi="Times New Roman"/>
                <w:b w:val="false"/>
                <w:bCs w:val="false"/>
                <w:sz w:val="17"/>
                <w:szCs w:val="17"/>
              </w:rPr>
              <w:t xml:space="preserve">5</w:t>
            </w:r>
          </w:p>
        </w:tc>
        <w:tc>
          <w:tcPr>
            <w:tcW w:type="dxa" w:w="12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7"/>
                <w:szCs w:val="17"/>
              </w:rPr>
              <w:t xml:space="preserve">0.0</w:t>
            </w:r>
          </w:p>
        </w:tc>
        <w:tc>
          <w:tcPr>
            <w:tcW w:type="dxa" w:w="12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7"/>
                <w:szCs w:val="17"/>
              </w:rPr>
              <w:t xml:space="preserve">1.0</w:t>
            </w:r>
          </w:p>
        </w:tc>
        <w:tc>
          <w:tcPr>
            <w:tcW w:type="dxa" w:w="12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7"/>
                <w:szCs w:val="17"/>
              </w:rPr>
              <w:t xml:space="preserve">0.376</w:t>
            </w:r>
          </w:p>
        </w:tc>
        <w:tc>
          <w:tcPr>
            <w:tcW w:type="dxa" w:w="18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7"/>
                <w:szCs w:val="17"/>
              </w:rPr>
              <w:t xml:space="preserve">0.310</w:t>
            </w:r>
          </w:p>
        </w:tc>
        <w:tc>
          <w:tcPr>
            <w:tcW w:type="dxa" w:w="18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7"/>
                <w:szCs w:val="17"/>
              </w:rPr>
              <w:t xml:space="preserve">0.376</w:t>
            </w:r>
          </w:p>
        </w:tc>
        <w:tc>
          <w:tcPr>
            <w:tcW w:type="dxa" w:w="18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7"/>
                <w:szCs w:val="17"/>
              </w:rPr>
              <w:t xml:space="preserve">+0.067</w:t>
            </w:r>
          </w:p>
        </w:tc>
      </w:tr>
      <w:tr>
        <w:tc>
          <w:tcPr>
            <w:tcW w:type="dxa" w:w="900"/>
            <w:tcBorders>
              <w:top w:val="single" w:color="AAAAAA" w:sz="1"/>
              <w:left w:val="single" w:color="AAAAAA" w:sz="1"/>
              <w:bottom w:val="single" w:color="AAAAAA" w:sz="1"/>
              <w:right w:val="single" w:color="AAAAAA" w:sz="1"/>
            </w:tcBorders>
            <w:shd w:fill="DDEEFF" w:val="clear"/>
            <w:tcMar>
              <w:top w:type="dxa" w:w="60"/>
              <w:left w:type="dxa" w:w="80"/>
              <w:bottom w:type="dxa" w:w="60"/>
              <w:right w:type="dxa" w:w="80"/>
            </w:tcMar>
          </w:tcPr>
          <w:p>
            <w:pPr>
              <w:jc w:val="left"/>
            </w:pPr>
            <w:r>
              <w:rPr>
                <w:rFonts w:ascii="Times New Roman" w:cs="Times New Roman" w:eastAsia="Times New Roman" w:hAnsi="Times New Roman"/>
                <w:b/>
                <w:bCs/>
                <w:sz w:val="17"/>
                <w:szCs w:val="17"/>
              </w:rPr>
              <w:t xml:space="preserve">Mean</w:t>
            </w:r>
          </w:p>
        </w:tc>
        <w:tc>
          <w:tcPr>
            <w:tcW w:type="dxa" w:w="1200"/>
            <w:tcBorders>
              <w:top w:val="single" w:color="AAAAAA" w:sz="1"/>
              <w:left w:val="single" w:color="AAAAAA" w:sz="1"/>
              <w:bottom w:val="single" w:color="AAAAAA" w:sz="1"/>
              <w:right w:val="single" w:color="AAAAAA" w:sz="1"/>
            </w:tcBorders>
            <w:shd w:fill="DDEEFF" w:val="clear"/>
            <w:tcMar>
              <w:top w:type="dxa" w:w="60"/>
              <w:left w:type="dxa" w:w="80"/>
              <w:bottom w:type="dxa" w:w="60"/>
              <w:right w:type="dxa" w:w="80"/>
            </w:tcMar>
          </w:tcPr>
          <w:p>
            <w:pPr>
              <w:jc w:val="center"/>
            </w:pPr>
            <w:r>
              <w:rPr>
                <w:rFonts w:ascii="Times New Roman" w:cs="Times New Roman" w:eastAsia="Times New Roman" w:hAnsi="Times New Roman"/>
                <w:b/>
                <w:bCs/>
                <w:sz w:val="17"/>
                <w:szCs w:val="17"/>
              </w:rPr>
              <w:t xml:space="preserve">0.0</w:t>
            </w:r>
          </w:p>
        </w:tc>
        <w:tc>
          <w:tcPr>
            <w:tcW w:type="dxa" w:w="1200"/>
            <w:tcBorders>
              <w:top w:val="single" w:color="AAAAAA" w:sz="1"/>
              <w:left w:val="single" w:color="AAAAAA" w:sz="1"/>
              <w:bottom w:val="single" w:color="AAAAAA" w:sz="1"/>
              <w:right w:val="single" w:color="AAAAAA" w:sz="1"/>
            </w:tcBorders>
            <w:shd w:fill="DDEEFF" w:val="clear"/>
            <w:tcMar>
              <w:top w:type="dxa" w:w="60"/>
              <w:left w:type="dxa" w:w="80"/>
              <w:bottom w:type="dxa" w:w="60"/>
              <w:right w:type="dxa" w:w="80"/>
            </w:tcMar>
          </w:tcPr>
          <w:p>
            <w:pPr>
              <w:jc w:val="center"/>
            </w:pPr>
            <w:r>
              <w:rPr>
                <w:rFonts w:ascii="Times New Roman" w:cs="Times New Roman" w:eastAsia="Times New Roman" w:hAnsi="Times New Roman"/>
                <w:b/>
                <w:bCs/>
                <w:sz w:val="17"/>
                <w:szCs w:val="17"/>
              </w:rPr>
              <w:t xml:space="preserve">1.0</w:t>
            </w:r>
          </w:p>
        </w:tc>
        <w:tc>
          <w:tcPr>
            <w:tcW w:type="dxa" w:w="1200"/>
            <w:tcBorders>
              <w:top w:val="single" w:color="AAAAAA" w:sz="1"/>
              <w:left w:val="single" w:color="AAAAAA" w:sz="1"/>
              <w:bottom w:val="single" w:color="AAAAAA" w:sz="1"/>
              <w:right w:val="single" w:color="AAAAAA" w:sz="1"/>
            </w:tcBorders>
            <w:shd w:fill="DDEEFF" w:val="clear"/>
            <w:tcMar>
              <w:top w:type="dxa" w:w="60"/>
              <w:left w:type="dxa" w:w="80"/>
              <w:bottom w:type="dxa" w:w="60"/>
              <w:right w:type="dxa" w:w="80"/>
            </w:tcMar>
          </w:tcPr>
          <w:p>
            <w:pPr>
              <w:jc w:val="center"/>
            </w:pPr>
            <w:r>
              <w:rPr>
                <w:rFonts w:ascii="Times New Roman" w:cs="Times New Roman" w:eastAsia="Times New Roman" w:hAnsi="Times New Roman"/>
                <w:b/>
                <w:bCs/>
                <w:sz w:val="17"/>
                <w:szCs w:val="17"/>
              </w:rPr>
              <w:t xml:space="preserve">0.368</w:t>
            </w:r>
          </w:p>
        </w:tc>
        <w:tc>
          <w:tcPr>
            <w:tcW w:type="dxa" w:w="1800"/>
            <w:tcBorders>
              <w:top w:val="single" w:color="AAAAAA" w:sz="1"/>
              <w:left w:val="single" w:color="AAAAAA" w:sz="1"/>
              <w:bottom w:val="single" w:color="AAAAAA" w:sz="1"/>
              <w:right w:val="single" w:color="AAAAAA" w:sz="1"/>
            </w:tcBorders>
            <w:shd w:fill="DDEEFF" w:val="clear"/>
            <w:tcMar>
              <w:top w:type="dxa" w:w="60"/>
              <w:left w:type="dxa" w:w="80"/>
              <w:bottom w:type="dxa" w:w="60"/>
              <w:right w:type="dxa" w:w="80"/>
            </w:tcMar>
          </w:tcPr>
          <w:p>
            <w:pPr>
              <w:jc w:val="center"/>
            </w:pPr>
            <w:r>
              <w:rPr>
                <w:rFonts w:ascii="Times New Roman" w:cs="Times New Roman" w:eastAsia="Times New Roman" w:hAnsi="Times New Roman"/>
                <w:b/>
                <w:bCs/>
                <w:sz w:val="17"/>
                <w:szCs w:val="17"/>
              </w:rPr>
              <w:t xml:space="preserve">0.308</w:t>
            </w:r>
          </w:p>
        </w:tc>
        <w:tc>
          <w:tcPr>
            <w:tcW w:type="dxa" w:w="1800"/>
            <w:tcBorders>
              <w:top w:val="single" w:color="AAAAAA" w:sz="1"/>
              <w:left w:val="single" w:color="AAAAAA" w:sz="1"/>
              <w:bottom w:val="single" w:color="AAAAAA" w:sz="1"/>
              <w:right w:val="single" w:color="AAAAAA" w:sz="1"/>
            </w:tcBorders>
            <w:shd w:fill="DDEEFF" w:val="clear"/>
            <w:tcMar>
              <w:top w:type="dxa" w:w="60"/>
              <w:left w:type="dxa" w:w="80"/>
              <w:bottom w:type="dxa" w:w="60"/>
              <w:right w:type="dxa" w:w="80"/>
            </w:tcMar>
          </w:tcPr>
          <w:p>
            <w:pPr>
              <w:jc w:val="center"/>
            </w:pPr>
            <w:r>
              <w:rPr>
                <w:rFonts w:ascii="Times New Roman" w:cs="Times New Roman" w:eastAsia="Times New Roman" w:hAnsi="Times New Roman"/>
                <w:b/>
                <w:bCs/>
                <w:sz w:val="17"/>
                <w:szCs w:val="17"/>
              </w:rPr>
              <w:t xml:space="preserve">0.368</w:t>
            </w:r>
          </w:p>
        </w:tc>
        <w:tc>
          <w:tcPr>
            <w:tcW w:type="dxa" w:w="1800"/>
            <w:tcBorders>
              <w:top w:val="single" w:color="AAAAAA" w:sz="1"/>
              <w:left w:val="single" w:color="AAAAAA" w:sz="1"/>
              <w:bottom w:val="single" w:color="AAAAAA" w:sz="1"/>
              <w:right w:val="single" w:color="AAAAAA" w:sz="1"/>
            </w:tcBorders>
            <w:shd w:fill="DDEEFF" w:val="clear"/>
            <w:tcMar>
              <w:top w:type="dxa" w:w="60"/>
              <w:left w:type="dxa" w:w="80"/>
              <w:bottom w:type="dxa" w:w="60"/>
              <w:right w:type="dxa" w:w="80"/>
            </w:tcMar>
          </w:tcPr>
          <w:p>
            <w:pPr>
              <w:jc w:val="center"/>
            </w:pPr>
            <w:r>
              <w:rPr>
                <w:rFonts w:ascii="Times New Roman" w:cs="Times New Roman" w:eastAsia="Times New Roman" w:hAnsi="Times New Roman"/>
                <w:b/>
                <w:bCs/>
                <w:sz w:val="17"/>
                <w:szCs w:val="17"/>
              </w:rPr>
              <w:t xml:space="preserve">+0.060</w:t>
            </w:r>
          </w:p>
        </w:tc>
      </w:tr>
    </w:tbl>
    <w:p>
      <w:pPr>
        <w:spacing w:after="60" w:before="60"/>
      </w:pPr>
      <w:r>
        <w:rPr>
          <w:sz w:val="22"/>
          <w:szCs w:val="22"/>
        </w:rPr>
        <w:t xml:space="preserve"/>
      </w:r>
    </w:p>
    <w:p>
      <w:pPr>
        <w:pStyle w:val="Heading2"/>
        <w:spacing w:after="80" w:before="200"/>
      </w:pPr>
      <w:r>
        <w:rPr>
          <w:rFonts w:ascii="Arial" w:cs="Arial" w:eastAsia="Arial" w:hAnsi="Arial"/>
          <w:b/>
          <w:bCs/>
          <w:color w:val="000000"/>
          <w:sz w:val="24"/>
          <w:szCs w:val="24"/>
        </w:rPr>
        <w:t xml:space="preserve">5.3 Statistical Analysis</w:t>
      </w:r>
    </w:p>
    <w:p>
      <w:pPr>
        <w:spacing w:after="60" w:before="60" w:line="276"/>
        <w:ind w:firstLine="440"/>
        <w:jc w:val="both"/>
      </w:pPr>
      <w:r>
        <w:rPr>
          <w:rFonts w:ascii="Times New Roman" w:cs="Times New Roman" w:eastAsia="Times New Roman" w:hAnsi="Times New Roman"/>
          <w:color w:val="000000"/>
          <w:sz w:val="22"/>
          <w:szCs w:val="22"/>
        </w:rPr>
        <w:t xml:space="preserve">Wilcoxon signed-rank test on per-query MRR scores (Hybrid vs. Technical): p = 0.0021, Cohen's d = 0.170. By conventional thresholds, d = 0.17 is a small effect. The difference is statistically significant but practically modest. Bootstrap 95% confidence intervals (1000 resamples) for MRR: Hybrid [0.346, 0.390], Technical [0.285, 0.331]. The intervals do not overlap, confirming the robustness of the observed ranking.</w:t>
      </w:r>
    </w:p>
    <w:p>
      <w:pPr>
        <w:spacing w:after="60" w:before="60" w:line="276"/>
        <w:ind w:firstLine="440"/>
        <w:jc w:val="both"/>
      </w:pPr>
      <w:r>
        <w:rPr>
          <w:rFonts w:ascii="Times New Roman" w:cs="Times New Roman" w:eastAsia="Times New Roman" w:hAnsi="Times New Roman"/>
          <w:color w:val="000000"/>
          <w:sz w:val="22"/>
          <w:szCs w:val="22"/>
        </w:rPr>
        <w:t xml:space="preserve">The P@5 comparison reverses: Technical (0.270) &gt; Semantic (0.173). This divergence — semantic leads on MRR, geometric leads on P@5 — indicates that material type is effective at identifying the first relevant result but geometric similarity is needed to populate the top-5 with multiple relevant items.</w:t>
      </w:r>
    </w:p>
    <w:p>
      <w:pPr>
        <w:pStyle w:val="Heading2"/>
        <w:spacing w:after="80" w:before="200"/>
      </w:pPr>
      <w:r>
        <w:rPr>
          <w:rFonts w:ascii="Arial" w:cs="Arial" w:eastAsia="Arial" w:hAnsi="Arial"/>
          <w:b/>
          <w:bCs/>
          <w:color w:val="000000"/>
          <w:sz w:val="24"/>
          <w:szCs w:val="24"/>
        </w:rPr>
        <w:t xml:space="preserve">5.4 Robustness Under Semantic Noise</w:t>
      </w:r>
    </w:p>
    <w:p>
      <w:pPr>
        <w:spacing w:after="60" w:before="60" w:line="276"/>
        <w:ind w:firstLine="440"/>
        <w:jc w:val="both"/>
      </w:pPr>
      <w:r>
        <w:rPr>
          <w:rFonts w:ascii="Times New Roman" w:cs="Times New Roman" w:eastAsia="Times New Roman" w:hAnsi="Times New Roman"/>
          <w:color w:val="000000"/>
          <w:sz w:val="22"/>
          <w:szCs w:val="22"/>
        </w:rPr>
        <w:t xml:space="preserve">To assess sensitivity to ontology quality, we inject Gaussian noise of increasing magnitude into the semantic similarity matrix. At 50% noise, Hybrid MRR degrades from 0.368 to 0.312, remaining above Technical MRR (0.308) throughout. This confirms that the semantic advantage is not fragile with respect to ontology completeness.</w:t>
      </w:r>
    </w:p>
    <w:p>
      <w:pPr>
        <w:pStyle w:val="Heading2"/>
        <w:spacing w:after="80" w:before="200"/>
      </w:pPr>
      <w:r>
        <w:rPr>
          <w:rFonts w:ascii="Arial" w:cs="Arial" w:eastAsia="Arial" w:hAnsi="Arial"/>
          <w:b/>
          <w:bCs/>
          <w:color w:val="000000"/>
          <w:sz w:val="24"/>
          <w:szCs w:val="24"/>
        </w:rPr>
        <w:t xml:space="preserve">5.5 Per-Family Breakdown</w:t>
      </w:r>
    </w:p>
    <w:p>
      <w:pPr>
        <w:spacing w:after="60" w:before="60" w:line="276"/>
        <w:ind w:firstLine="440"/>
        <w:jc w:val="both"/>
      </w:pPr>
      <w:r>
        <w:rPr>
          <w:rFonts w:ascii="Times New Roman" w:cs="Times New Roman" w:eastAsia="Times New Roman" w:hAnsi="Times New Roman"/>
          <w:color w:val="000000"/>
          <w:sz w:val="22"/>
          <w:szCs w:val="22"/>
        </w:rPr>
        <w:t xml:space="preserve">Retrieval performance varies substantially across topo_family groups. topo_isolated assemblies (few contacts, few holes) are retrieved with highest precision, consistent with their distinctive contact profile. topo_moderate assemblies, which overlap in contact count with both topo_minimal and topo_connected, produce the highest confusion rate. These results are consistent with the label construction: adjacent quintiles share boundary assemblies, making perfect retrieval impossible by design.</w:t>
      </w:r>
    </w:p>
    <w:p>
      <w:pPr>
        <w:spacing w:after="60" w:before="60"/>
      </w:pPr>
      <w:r>
        <w:rPr>
          <w:sz w:val="22"/>
          <w:szCs w:val="22"/>
        </w:rPr>
        <w:t xml:space="preserve"/>
      </w:r>
    </w:p>
    <w:p>
      <w:pPr>
        <w:pStyle w:val="Heading1"/>
        <w:spacing w:after="120" w:before="280"/>
      </w:pPr>
      <w:r>
        <w:rPr>
          <w:rFonts w:ascii="Arial" w:cs="Arial" w:eastAsia="Arial" w:hAnsi="Arial"/>
          <w:b/>
          <w:bCs/>
          <w:color w:val="000000"/>
          <w:sz w:val="26"/>
          <w:szCs w:val="26"/>
        </w:rPr>
        <w:t xml:space="preserve">6. Discussion</w:t>
      </w:r>
    </w:p>
    <w:p>
      <w:pPr>
        <w:pStyle w:val="Heading2"/>
        <w:spacing w:after="80" w:before="200"/>
      </w:pPr>
      <w:r>
        <w:rPr>
          <w:rFonts w:ascii="Arial" w:cs="Arial" w:eastAsia="Arial" w:hAnsi="Arial"/>
          <w:b/>
          <w:bCs/>
          <w:color w:val="000000"/>
          <w:sz w:val="24"/>
          <w:szCs w:val="24"/>
        </w:rPr>
        <w:t xml:space="preserve">6.1 Why Does Material Outperform Geometry on MRR?</w:t>
      </w:r>
    </w:p>
    <w:p>
      <w:pPr>
        <w:spacing w:after="60" w:before="60" w:line="276"/>
        <w:ind w:firstLine="440"/>
        <w:jc w:val="both"/>
      </w:pPr>
      <w:r>
        <w:rPr>
          <w:rFonts w:ascii="Times New Roman" w:cs="Times New Roman" w:eastAsia="Times New Roman" w:hAnsi="Times New Roman"/>
          <w:color w:val="000000"/>
          <w:sz w:val="22"/>
          <w:szCs w:val="22"/>
        </w:rPr>
        <w:t xml:space="preserve">The finding that material type outperforms geometric parameters on MRR is surprising at first glance: material is a single categorical variable, while geometry provides 11 continuous parameters. Two explanations are consistent with the data.</w:t>
      </w:r>
    </w:p>
    <w:p>
      <w:pPr>
        <w:spacing w:after="60" w:before="60" w:line="276"/>
        <w:ind w:firstLine="440"/>
        <w:jc w:val="both"/>
      </w:pPr>
      <w:r>
        <w:rPr>
          <w:rFonts w:ascii="Times New Roman" w:cs="Times New Roman" w:eastAsia="Times New Roman" w:hAnsi="Times New Roman"/>
          <w:color w:val="000000"/>
          <w:sz w:val="22"/>
          <w:szCs w:val="22"/>
        </w:rPr>
        <w:t xml:space="preserve">First, material choice in mechanical assembly design correlates with structural complexity. Steel components appear predominantly in multi-body, high-contact assemblies; lightweight materials (Aluminum, Plastic) appear more often in lower-contact configurations. This correlation is not a circularity — material is not derived from contact topology — but rather reflects engineering practice: heavier structural loads require both steel and complex joint arrangements.</w:t>
      </w:r>
    </w:p>
    <w:p>
      <w:pPr>
        <w:spacing w:after="60" w:before="60" w:line="276"/>
        <w:ind w:firstLine="440"/>
        <w:jc w:val="both"/>
      </w:pPr>
      <w:r>
        <w:rPr>
          <w:rFonts w:ascii="Times New Roman" w:cs="Times New Roman" w:eastAsia="Times New Roman" w:hAnsi="Times New Roman"/>
          <w:color w:val="000000"/>
          <w:sz w:val="22"/>
          <w:szCs w:val="22"/>
        </w:rPr>
        <w:t xml:space="preserve">Second, geometric features in this dataset are highly multicollinear (edge_count × geometric_complexity Pearson r = 0.998). The effective geometric signal is lower-dimensional than the 11 features suggest. Material, being orthogonal to this degenerate geometric subspace, adds independent discriminative power per unit of 'feature complexity'.</w:t>
      </w:r>
    </w:p>
    <w:p>
      <w:pPr>
        <w:pStyle w:val="Heading2"/>
        <w:spacing w:after="80" w:before="200"/>
      </w:pPr>
      <w:r>
        <w:rPr>
          <w:rFonts w:ascii="Arial" w:cs="Arial" w:eastAsia="Arial" w:hAnsi="Arial"/>
          <w:b/>
          <w:bCs/>
          <w:color w:val="000000"/>
          <w:sz w:val="24"/>
          <w:szCs w:val="24"/>
        </w:rPr>
        <w:t xml:space="preserve">6.2 Why Does Hybridisation Not Help?</w:t>
      </w:r>
    </w:p>
    <w:p>
      <w:pPr>
        <w:spacing w:after="60" w:before="60" w:line="276"/>
        <w:ind w:firstLine="440"/>
        <w:jc w:val="both"/>
      </w:pPr>
      <w:r>
        <w:rPr>
          <w:rFonts w:ascii="Times New Roman" w:cs="Times New Roman" w:eastAsia="Times New Roman" w:hAnsi="Times New Roman"/>
          <w:color w:val="000000"/>
          <w:sz w:val="22"/>
          <w:szCs w:val="22"/>
        </w:rPr>
        <w:t xml:space="preserve">Linear hybridisation with scalar weights cannot overcome the fundamental trade-off between MRR and P@5: the weight that maximises MRR (α=0.0) simultaneously minimises P@5, and vice versa. A retrieval system that serves both use cases — quick first-rank lookup and comprehensive top-5 coverage — would require a different architecture, such as learning-to-rank or query-adaptive weight selection rather than a fixed global weight.</w:t>
      </w:r>
    </w:p>
    <w:p>
      <w:pPr>
        <w:spacing w:after="60" w:before="60" w:line="276"/>
        <w:ind w:firstLine="440"/>
        <w:jc w:val="both"/>
      </w:pPr>
      <w:r>
        <w:rPr>
          <w:rFonts w:ascii="Times New Roman" w:cs="Times New Roman" w:eastAsia="Times New Roman" w:hAnsi="Times New Roman"/>
          <w:color w:val="000000"/>
          <w:sz w:val="22"/>
          <w:szCs w:val="22"/>
        </w:rPr>
        <w:t xml:space="preserve">Additionally, the material feature space is binary at the assembly level (most assemblies share the dominant material within their class), which means blending with geometric similarity dilutes the categorical signal for MRR rather than enriching it.</w:t>
      </w:r>
    </w:p>
    <w:p>
      <w:pPr>
        <w:pStyle w:val="Heading2"/>
        <w:spacing w:after="80" w:before="200"/>
      </w:pPr>
      <w:r>
        <w:rPr>
          <w:rFonts w:ascii="Arial" w:cs="Arial" w:eastAsia="Arial" w:hAnsi="Arial"/>
          <w:b/>
          <w:bCs/>
          <w:color w:val="000000"/>
          <w:sz w:val="24"/>
          <w:szCs w:val="24"/>
        </w:rPr>
        <w:t xml:space="preserve">6.3 Implications for CAD Retrieval System Design</w:t>
      </w:r>
    </w:p>
    <w:p>
      <w:pPr>
        <w:spacing w:after="60" w:before="60" w:line="276"/>
        <w:ind w:firstLine="440"/>
        <w:jc w:val="both"/>
      </w:pPr>
      <w:r>
        <w:rPr>
          <w:rFonts w:ascii="Times New Roman" w:cs="Times New Roman" w:eastAsia="Times New Roman" w:hAnsi="Times New Roman"/>
          <w:color w:val="000000"/>
          <w:sz w:val="22"/>
          <w:szCs w:val="22"/>
        </w:rPr>
        <w:t xml:space="preserve">Our results suggest that engineering applications should choose retrieval modality according to use case. For rapid first-match lookup (find one similar assembly quickly), semantic ontology features are more reliable. For exhaustive top-k coverage (find all assemblies of the same structural type), geometric features are more reliable. A production system would benefit from a query-adaptive routing mechanism or an ensemble that uses MRR-optimal features for re-ranking and P@5-optimal features for initial candidate retrieval.</w:t>
      </w:r>
    </w:p>
    <w:p>
      <w:pPr>
        <w:spacing w:after="60" w:before="60" w:line="276"/>
        <w:ind w:firstLine="440"/>
        <w:jc w:val="both"/>
      </w:pPr>
      <w:r>
        <w:rPr>
          <w:rFonts w:ascii="Times New Roman" w:cs="Times New Roman" w:eastAsia="Times New Roman" w:hAnsi="Times New Roman"/>
          <w:color w:val="000000"/>
          <w:sz w:val="22"/>
          <w:szCs w:val="22"/>
        </w:rPr>
        <w:t xml:space="preserve">The OWL ontology and SPARQL layer developed in this work serve an additional function independent of retrieval accuracy: they enable engineers to explain and audit retrieval decisions. A query such as 'return all Steel topo-isolated assemblies with low complexity' is answerable directly from the ontology, providing human-interpretable justification for a recommendation that a nearest-neighbour system cannot provide.</w:t>
      </w:r>
    </w:p>
    <w:p>
      <w:pPr>
        <w:pStyle w:val="Heading2"/>
        <w:spacing w:after="80" w:before="200"/>
      </w:pPr>
      <w:r>
        <w:rPr>
          <w:rFonts w:ascii="Arial" w:cs="Arial" w:eastAsia="Arial" w:hAnsi="Arial"/>
          <w:b/>
          <w:bCs/>
          <w:color w:val="000000"/>
          <w:sz w:val="24"/>
          <w:szCs w:val="24"/>
        </w:rPr>
        <w:t xml:space="preserve">6.4 Evaluation Circularity: A Warning</w:t>
      </w:r>
    </w:p>
    <w:p>
      <w:pPr>
        <w:spacing w:after="60" w:before="60" w:line="276"/>
        <w:ind w:firstLine="440"/>
        <w:jc w:val="both"/>
      </w:pPr>
      <w:r>
        <w:rPr>
          <w:rFonts w:ascii="Times New Roman" w:cs="Times New Roman" w:eastAsia="Times New Roman" w:hAnsi="Times New Roman"/>
          <w:color w:val="000000"/>
          <w:sz w:val="22"/>
          <w:szCs w:val="22"/>
        </w:rPr>
        <w:t xml:space="preserve">The three evaluation bugs documented in Section 4.3 are not peculiarities of this dataset. Label leakage (B1) occurs whenever ground-truth categories are defined by thresholding features that appear in the retrieval pipeline — a common practice when no external ground truth is available. Zero-variance features (B2) are endemic in datasets extracted from heterogeneous sources where some sensors or fields are unpopulated. In-sample weight tuning (B3) is perhaps the most pervasive: many published hybrid similarity papers report performance numbers obtained by optimising weights on the evaluation set.</w:t>
      </w:r>
    </w:p>
    <w:p>
      <w:pPr>
        <w:spacing w:after="60" w:before="60" w:line="276"/>
        <w:ind w:firstLine="440"/>
        <w:jc w:val="both"/>
      </w:pPr>
      <w:r>
        <w:rPr>
          <w:rFonts w:ascii="Times New Roman" w:cs="Times New Roman" w:eastAsia="Times New Roman" w:hAnsi="Times New Roman"/>
          <w:color w:val="000000"/>
          <w:sz w:val="22"/>
          <w:szCs w:val="22"/>
        </w:rPr>
        <w:t xml:space="preserve">We encourage future CAD retrieval work to (a) verify label independence explicitly using a held-out classifier, (b) remove degenerate features by variance analysis before computing similarity, and (c) use cross-validated weight selection or a completely separate validation set for hyperparameter tuning.</w:t>
      </w:r>
    </w:p>
    <w:p>
      <w:pPr>
        <w:spacing w:after="60" w:before="60"/>
      </w:pPr>
      <w:r>
        <w:rPr>
          <w:sz w:val="22"/>
          <w:szCs w:val="22"/>
        </w:rPr>
        <w:t xml:space="preserve"/>
      </w:r>
    </w:p>
    <w:p>
      <w:pPr>
        <w:pStyle w:val="Heading1"/>
        <w:spacing w:after="120" w:before="280"/>
      </w:pPr>
      <w:r>
        <w:rPr>
          <w:rFonts w:ascii="Arial" w:cs="Arial" w:eastAsia="Arial" w:hAnsi="Arial"/>
          <w:b/>
          <w:bCs/>
          <w:color w:val="000000"/>
          <w:sz w:val="26"/>
          <w:szCs w:val="26"/>
        </w:rPr>
        <w:t xml:space="preserve">7. Limitations</w:t>
      </w:r>
    </w:p>
    <w:p>
      <w:pPr>
        <w:spacing w:after="60" w:before="60" w:line="276"/>
        <w:ind w:firstLine="440"/>
        <w:jc w:val="both"/>
      </w:pPr>
      <w:r>
        <w:rPr>
          <w:rFonts w:ascii="Times New Roman" w:cs="Times New Roman" w:eastAsia="Times New Roman" w:hAnsi="Times New Roman"/>
          <w:color w:val="000000"/>
          <w:sz w:val="22"/>
          <w:szCs w:val="22"/>
        </w:rPr>
        <w:t xml:space="preserve">Several limitations constrain the generalisability of these findings. First, the dataset of 746 assemblies is geometrically homogeneous (predominantly small Steel parts), which depresses absolute retrieval performance and may mask modality differences that would emerge in a more diverse corpus. Second, the ground-truth labels are automatically constructed from contact topology quintiles rather than expert-validated design families; the five groups may not correspond to meaningful engineering categories. Third, the semantic feature representation is restricted to material one-hot encoding — the full expressive power of the OWL ontology (functional annotations, process constraints, spatial relationships) is not yet exploited in the retrieval pipeline. Fourth, this study evaluates only linear weighted fusion; non-linear combination methods (graph neural networks, attention-based fusion) may break the trade-off identified in Section 6.2. Fifth, the dataset is limited to Fusion 360 assemblies from a single source; cross-platform and cross-domain generalisability is unknown.</w:t>
      </w:r>
    </w:p>
    <w:p>
      <w:pPr>
        <w:spacing w:after="60" w:before="60"/>
      </w:pPr>
      <w:r>
        <w:rPr>
          <w:sz w:val="22"/>
          <w:szCs w:val="22"/>
        </w:rPr>
        <w:t xml:space="preserve"/>
      </w:r>
    </w:p>
    <w:p>
      <w:pPr>
        <w:pStyle w:val="Heading1"/>
        <w:spacing w:after="120" w:before="280"/>
      </w:pPr>
      <w:r>
        <w:rPr>
          <w:rFonts w:ascii="Arial" w:cs="Arial" w:eastAsia="Arial" w:hAnsi="Arial"/>
          <w:b/>
          <w:bCs/>
          <w:color w:val="000000"/>
          <w:sz w:val="26"/>
          <w:szCs w:val="26"/>
        </w:rPr>
        <w:t xml:space="preserve">8. Conclusion</w:t>
      </w:r>
    </w:p>
    <w:p>
      <w:pPr>
        <w:spacing w:after="60" w:before="60" w:line="276"/>
        <w:ind w:firstLine="440"/>
        <w:jc w:val="both"/>
      </w:pPr>
      <w:r>
        <w:rPr>
          <w:rFonts w:ascii="Times New Roman" w:cs="Times New Roman" w:eastAsia="Times New Roman" w:hAnsi="Times New Roman"/>
          <w:color w:val="000000"/>
          <w:sz w:val="22"/>
          <w:szCs w:val="22"/>
        </w:rPr>
        <w:t xml:space="preserve">This paper contributes an empirical study of feature modality comparison for CAD assembly similarity retrieval with rigorous evaluation methodology. We identify and correct three evaluation pitfalls — label leakage, zero-variance features, and in-sample weight optimisation — and show that each individually produces results that do not reflect true retrieval performance.</w:t>
      </w:r>
    </w:p>
    <w:p>
      <w:pPr>
        <w:spacing w:after="60" w:before="60" w:line="276"/>
        <w:ind w:firstLine="440"/>
        <w:jc w:val="both"/>
      </w:pPr>
      <w:r>
        <w:rPr>
          <w:rFonts w:ascii="Times New Roman" w:cs="Times New Roman" w:eastAsia="Times New Roman" w:hAnsi="Times New Roman"/>
          <w:color w:val="000000"/>
          <w:sz w:val="22"/>
          <w:szCs w:val="22"/>
        </w:rPr>
        <w:t xml:space="preserve">Under corrected, cross-validated evaluation on 746 Fusion 360 assemblies, we find that semantic features (material ontology) outperform geometric features on MRR (0.368 vs. 0.308, d=0.17) while geometric features dominate Precision@5 (0.270 vs. 0.173). Cross-validated weight optimisation collapses the hybrid to pure semantic, revealing that linear fusion provides no additional benefit. These results suggest that retrieval system design should be use-case driven: semantic features for first-rank lookup, geometric features for top-k coverage.</w:t>
      </w:r>
    </w:p>
    <w:p>
      <w:pPr>
        <w:spacing w:after="60" w:before="60" w:line="276"/>
        <w:ind w:firstLine="440"/>
        <w:jc w:val="both"/>
      </w:pPr>
      <w:r>
        <w:rPr>
          <w:rFonts w:ascii="Times New Roman" w:cs="Times New Roman" w:eastAsia="Times New Roman" w:hAnsi="Times New Roman"/>
          <w:color w:val="000000"/>
          <w:sz w:val="22"/>
          <w:szCs w:val="22"/>
        </w:rPr>
        <w:t xml:space="preserve">Beyond retrieval accuracy, the OWL ontology and SPARQL knowledge graph developed here provide explainability infrastructure that geometric similarity alone cannot offer. We release the full evaluation pipeline, corrected dataset, and ontology to facilitate reproducible research in this area.</w:t>
      </w:r>
    </w:p>
    <w:p>
      <w:pPr>
        <w:spacing w:after="60" w:before="60"/>
      </w:pPr>
      <w:r>
        <w:rPr>
          <w:sz w:val="22"/>
          <w:szCs w:val="22"/>
        </w:rPr>
        <w:t xml:space="preserve"/>
      </w:r>
    </w:p>
    <w:p>
      <w:pPr>
        <w:pStyle w:val="Heading1"/>
        <w:spacing w:after="120" w:before="280"/>
      </w:pPr>
      <w:r>
        <w:rPr>
          <w:rFonts w:ascii="Arial" w:cs="Arial" w:eastAsia="Arial" w:hAnsi="Arial"/>
          <w:b/>
          <w:bCs/>
          <w:color w:val="000000"/>
          <w:sz w:val="26"/>
          <w:szCs w:val="26"/>
        </w:rPr>
        <w:t xml:space="preserve">References</w:t>
      </w:r>
    </w:p>
    <w:p>
      <w:pPr>
        <w:spacing w:after="60" w:before="60" w:line="276"/>
        <w:ind w:firstLine="440"/>
        <w:jc w:val="both"/>
      </w:pPr>
      <w:r>
        <w:rPr>
          <w:rFonts w:ascii="Times New Roman" w:cs="Times New Roman" w:eastAsia="Times New Roman" w:hAnsi="Times New Roman"/>
          <w:color w:val="000000"/>
          <w:sz w:val="22"/>
          <w:szCs w:val="22"/>
        </w:rPr>
        <w:t xml:space="preserve">[CITE] Elber, G., &amp; Cohen, E. (2001). A unified approach to handle self-intersecting and trimmed surfaces using a hybrid of symbolic and numeric methods. ACM Transactions on Graphics.</w:t>
      </w:r>
    </w:p>
    <w:p>
      <w:pPr>
        <w:spacing w:after="60" w:before="60" w:line="276"/>
        <w:ind w:firstLine="440"/>
        <w:jc w:val="both"/>
      </w:pPr>
      <w:r>
        <w:rPr>
          <w:rFonts w:ascii="Times New Roman" w:cs="Times New Roman" w:eastAsia="Times New Roman" w:hAnsi="Times New Roman"/>
          <w:color w:val="000000"/>
          <w:sz w:val="22"/>
          <w:szCs w:val="22"/>
        </w:rPr>
        <w:t xml:space="preserve">[CITE] Shah, J. J., et al. (2001). Collaborative sketching — a tool for early design collaboration. Concurrent Engineering.</w:t>
      </w:r>
    </w:p>
    <w:p>
      <w:pPr>
        <w:spacing w:after="60" w:before="60" w:line="276"/>
        <w:ind w:firstLine="440"/>
        <w:jc w:val="both"/>
      </w:pPr>
      <w:r>
        <w:rPr>
          <w:rFonts w:ascii="Times New Roman" w:cs="Times New Roman" w:eastAsia="Times New Roman" w:hAnsi="Times New Roman"/>
          <w:color w:val="000000"/>
          <w:sz w:val="22"/>
          <w:szCs w:val="22"/>
        </w:rPr>
        <w:t xml:space="preserve">[CITE] Shao, Z., et al. (2020). A systematic survey of multi-modal similarity learning. IEEE Transactions on Pattern Analysis and Machine Intelligence.</w:t>
      </w:r>
    </w:p>
    <w:p>
      <w:pPr>
        <w:spacing w:after="60" w:before="60" w:line="276"/>
        <w:ind w:firstLine="440"/>
        <w:jc w:val="both"/>
      </w:pPr>
      <w:r>
        <w:rPr>
          <w:rFonts w:ascii="Times New Roman" w:cs="Times New Roman" w:eastAsia="Times New Roman" w:hAnsi="Times New Roman"/>
          <w:color w:val="000000"/>
          <w:sz w:val="22"/>
          <w:szCs w:val="22"/>
        </w:rPr>
        <w:t xml:space="preserve">[CITE] ISO 10303-21 (STEP). (2016). Industrial automation systems and integration — Product data representation and exchange.</w:t>
      </w:r>
    </w:p>
    <w:p>
      <w:pPr>
        <w:spacing w:after="60" w:before="60" w:line="276"/>
        <w:ind w:firstLine="440"/>
        <w:jc w:val="both"/>
      </w:pPr>
      <w:r>
        <w:rPr>
          <w:rFonts w:ascii="Times New Roman" w:cs="Times New Roman" w:eastAsia="Times New Roman" w:hAnsi="Times New Roman"/>
          <w:color w:val="000000"/>
          <w:sz w:val="22"/>
          <w:szCs w:val="22"/>
        </w:rPr>
        <w:t xml:space="preserve">Note: [CITE] placeholders indicate references to be populated with actual citations from the literature review. AEI uses Elsevier reference style.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jc w:val="right"/>
    </w:pPr>
    <w:r>
      <w:rPr>
        <w:rFonts w:ascii="Arial" w:cs="Arial" w:eastAsia="Arial" w:hAnsi="Arial"/>
        <w:color w:val="555555"/>
        <w:sz w:val="18"/>
        <w:szCs w:val="18"/>
      </w:rPr>
      <w:t xml:space="preserve">Rahmanov — CAD Assembly Similarity Retrieval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sz w:val="26"/>
      <w:szCs w:val="26"/>
    </w:rPr>
  </w:style>
  <w:style w:type="paragraph" w:styleId="Heading2">
    <w:name w:val="Heading 2"/>
    <w:basedOn w:val="Normal"/>
    <w:next w:val="Normal"/>
    <w:qFormat/>
    <w:pPr>
      <w:spacing w:after="80" w:before="200"/>
      <w:outlineLvl w:val="1"/>
    </w:pPr>
    <w:rPr>
      <w:rFonts w:ascii="Arial" w:cs="Arial" w:eastAsia="Arial" w:hAnsi="Arial"/>
      <w:b/>
      <w:bCs/>
      <w:sz w:val="24"/>
      <w:szCs w:val="24"/>
    </w:rPr>
  </w:style>
  <w:style w:type="paragraph" w:styleId="Heading3">
    <w:name w:val="Heading 3"/>
    <w:basedOn w:val="Normal"/>
    <w:next w:val="Normal"/>
    <w:qFormat/>
    <w:pPr>
      <w:spacing w:after="60" w:before="160"/>
      <w:outlineLvl w:val="2"/>
    </w:pPr>
    <w:rPr>
      <w:rFonts w:ascii="Arial" w:cs="Arial" w:eastAsia="Arial" w:hAnsi="Arial"/>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2026-05-31T17:47:35.052Z</dcterms:created>
  <dcterms:modified xsi:type="dcterms:W3CDTF">2026-05-31T17:47:35.052Z</dcterms:modified>
</cp:coreProperties>
</file>

<file path=docProps/custom.xml><?xml version="1.0" encoding="utf-8"?>
<Properties xmlns="http://schemas.openxmlformats.org/officeDocument/2006/custom-properties" xmlns:vt="http://schemas.openxmlformats.org/officeDocument/2006/docPropsVTypes"/>
</file>