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Change and Biodiversity</w:t>
      </w:r>
    </w:p>
    <w:p/>
    <w:p>
      <w:pPr>
        <w:jc w:val="both"/>
      </w:pPr>
      <w:r>
        <w:rPr>
          <w:sz w:val="24"/>
        </w:rPr>
        <w:t>The acceleration of biodiversity loss is one of the defining ecological crises of the twenty-first century. Deforestation in tropical regions destroys habitats at a rate of millions of hectares per year. Ocean acidification, driven by rising CO2 levels, threatens marine ecosystems from coral reefs to deep-sea organisms. Restoring biodiversity requires both local conservation action and binding international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