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Threats in 2025</w:t>
      </w:r>
    </w:p>
    <w:p/>
    <w:p>
      <w:pPr>
        <w:jc w:val="both"/>
      </w:pPr>
      <w:r>
        <w:rPr>
          <w:sz w:val="24"/>
        </w:rPr>
        <w:t>Nation-state cyber attacks on critical infrastructure are increasing in frequency and sophistication. Artificial intelligence is now being used both to launch and to defend against cyber threats at machine speed. Zero-day vulnerabilities in widely used software libraries can affect millions of systems simultaneously. Post-quantum cryptography is urgently needed to protect data against future quantum computing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