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IoT_Future</w:t>
      </w:r>
    </w:p>
    <w:p>
      <w:pPr>
        <w:jc w:val="both"/>
      </w:pPr>
      <w:r>
        <w:t>Introduction: The Internet of Things (IoT) encompasses a vast network of physical objects embedded with sensors and software for the purpose of connecting and exchanging data with other devices over the internet.</w:t>
        <w:br/>
        <w:br/>
        <w:t>Body 1: From smart thermostats to industrial turbines, these connected devices generate a continuous stream of telemetry data, enabling predictive maintenance and real-time optimization of complex infrastructure.</w:t>
        <w:br/>
        <w:br/>
        <w:t>Body 2: As the volume of data grows, 'Edge Computing' has become vital. Processing data locally at the device level reduces latency and bandwidth usage, ensuring that critical safety systems can react instantly without waiting for cloud processing.</w:t>
        <w:br/>
        <w:br/>
        <w:t>Data: Industry analysts forecast that by 2030, there will be more than 125 billion connected IoT devices worldwide, generating over 80 zettabytes of data annually.</w:t>
        <w:br/>
        <w:br/>
        <w:t>Conclusion: While the hyper-connected future promises unprecedented efficiency, it also necessitates a new paradigm for cybersecurity to protect critical infrastructure from remote exploitation.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