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Cyber_Defense</w:t>
      </w:r>
    </w:p>
    <w:p>
      <w:pPr>
        <w:jc w:val="both"/>
      </w:pPr>
      <w:r>
        <w:t>Introduction: In an era of escalating digital threats, the Zero Trust security model has emerged as a fundamental architectural shift, operating on the principle of 'never trust, always verify' for every connection attempt.</w:t>
        <w:br/>
        <w:br/>
        <w:t>Body 1: Traditional perimeter-based security is no longer sufficient against sophisticated persistent threats. Modern defense requires granular access controls and continuous monitoring of all user and device behavior within the network.</w:t>
        <w:br/>
        <w:br/>
        <w:t>Body 2: Multi-factor authentication (MFA) and end-to-end encryption form the core pillars of a resilient defense strategy. However, human factors remain the weakest link, necessitating rigorous security awareness training for all personnel.</w:t>
        <w:br/>
        <w:br/>
        <w:t>Data: The average cost of a single data breach in the enterprise sector now exceeds $4.2 million, with 85% of successful attacks involving some form of social engineering or phishing.</w:t>
        <w:br/>
        <w:br/>
        <w:t>Conclusion: Effective cybersecurity is not a one-time product installation but a continuous process of adaptation, vigilance, and proactive threat hunting.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