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Blockchain_Rephrased</w:t>
      </w:r>
    </w:p>
    <w:p>
      <w:pPr>
        <w:jc w:val="both"/>
      </w:pPr>
      <w:r>
        <w:t>Introduction: Distributed ledger frameworks offer a complete break from traditional central authority models, providing a safe way to store records using a network of spread-out computers.</w:t>
        <w:br/>
        <w:br/>
        <w:t>Body 1: Every new entry in the sequence is secured by a unique code tied to the previous record, making the entire history permanent and resistant to fraudulent changes by any single party.</w:t>
        <w:br/>
        <w:br/>
        <w:t>Body 2: The use of programmable deal-making code - often referred to as smart contracts - removes the requirement for traditional middle-men like lawyers or bankers, which significantly lowers the cost of doing business.</w:t>
        <w:br/>
        <w:br/>
        <w:t>Data: Statistically, over $20 billion is now moving through decentralized financial networks every month, a massive increase from just a few years ago.</w:t>
        <w:br/>
        <w:br/>
        <w:t>Conclusion: Even with the current technical hurdles, the move toward distributed trust-building is the most important change in financial records since the invention of the computer.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