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Biometric Authentication Systems</w:t>
      </w:r>
    </w:p>
    <w:p>
      <w:pPr>
        <w:pStyle w:val="Heading1"/>
      </w:pPr>
      <w:r>
        <w:t>Abstract</w:t>
      </w:r>
    </w:p>
    <w:p>
      <w:r>
        <w:t>Fingerprint and iris scanning reliability under adversarial attack vectors...</w:t>
      </w:r>
    </w:p>
    <w:p>
      <w:pPr>
        <w:pStyle w:val="Heading1"/>
      </w:pPr>
      <w:r>
        <w:t>1. Introduction</w:t>
      </w:r>
    </w:p>
    <w:p>
      <w:r>
        <w:t>In this paper, we explore biometric authentication systems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