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68CAF">
      <w:pPr>
        <w:spacing w:before="480" w:after="480" w:line="288" w:lineRule="auto"/>
        <w:ind w:left="0"/>
        <w:rPr>
          <w:rFonts w:hint="eastAsia" w:eastAsia="等线"/>
          <w:lang w:eastAsia="zh"/>
          <w:woUserID w:val="1"/>
        </w:rPr>
      </w:pPr>
      <w:r>
        <w:rPr>
          <w:rFonts w:hint="eastAsia" w:ascii="Arial" w:hAnsi="Arial" w:eastAsia="等线" w:cs="Arial"/>
          <w:b/>
          <w:sz w:val="52"/>
          <w:lang w:eastAsia="zh"/>
          <w:woUserID w:val="1"/>
        </w:rPr>
        <w:t xml:space="preserve">Exploring </w:t>
      </w:r>
      <w:r>
        <w:rPr>
          <w:rFonts w:ascii="Arial" w:hAnsi="Arial" w:eastAsia="等线" w:cs="Arial"/>
          <w:b/>
          <w:sz w:val="52"/>
        </w:rPr>
        <w:t xml:space="preserve">The </w:t>
      </w:r>
      <w:r>
        <w:rPr>
          <w:rFonts w:ascii="Arial" w:hAnsi="Arial" w:eastAsia="等线" w:cs="Arial"/>
          <w:b/>
          <w:sz w:val="52"/>
          <w:woUserID w:val="1"/>
        </w:rPr>
        <w:t>Boundaries of</w:t>
      </w:r>
      <w:r>
        <w:rPr>
          <w:rFonts w:hint="eastAsia" w:ascii="Arial" w:hAnsi="Arial" w:eastAsia="等线" w:cs="Arial"/>
          <w:b/>
          <w:sz w:val="52"/>
          <w:lang w:eastAsia="zh"/>
          <w:woUserID w:val="1"/>
        </w:rPr>
        <w:t xml:space="preserve"> </w:t>
      </w:r>
      <w:r>
        <w:rPr>
          <w:rFonts w:ascii="Arial" w:hAnsi="Arial" w:eastAsia="等线" w:cs="Arial"/>
          <w:b/>
          <w:sz w:val="52"/>
        </w:rPr>
        <w:t xml:space="preserve">Reproducibility </w:t>
      </w:r>
      <w:r>
        <w:rPr>
          <w:rFonts w:hint="eastAsia" w:ascii="Arial" w:hAnsi="Arial" w:eastAsia="等线" w:cs="Arial"/>
          <w:b/>
          <w:sz w:val="52"/>
          <w:lang w:eastAsia="zh"/>
          <w:woUserID w:val="1"/>
        </w:rPr>
        <w:t>in</w:t>
      </w:r>
      <w:r>
        <w:rPr>
          <w:rFonts w:ascii="Arial" w:hAnsi="Arial" w:eastAsia="等线" w:cs="Arial"/>
          <w:b/>
          <w:sz w:val="52"/>
        </w:rPr>
        <w:t xml:space="preserve"> Humanistic Argumentation: A Controlled Experiment </w:t>
      </w:r>
      <w:r>
        <w:rPr>
          <w:rFonts w:hint="eastAsia" w:ascii="Arial" w:hAnsi="Arial" w:eastAsia="等线" w:cs="Arial"/>
          <w:b/>
          <w:sz w:val="52"/>
          <w:lang w:eastAsia="zh"/>
          <w:woUserID w:val="1"/>
        </w:rPr>
        <w:t xml:space="preserve"> with LLMs</w:t>
      </w:r>
    </w:p>
    <w:p w14:paraId="1131164D">
      <w:pPr>
        <w:spacing w:before="320" w:after="120" w:line="288" w:lineRule="auto"/>
        <w:ind w:left="0"/>
        <w:jc w:val="left"/>
        <w:outlineLvl w:val="1"/>
      </w:pPr>
      <w:bookmarkStart w:id="0" w:name="heading_0"/>
      <w:r>
        <w:rPr>
          <w:rFonts w:ascii="Arial" w:hAnsi="Arial" w:eastAsia="等线" w:cs="Arial"/>
          <w:b/>
          <w:sz w:val="32"/>
        </w:rPr>
        <w:t>一、实验整体概述</w:t>
      </w:r>
      <w:bookmarkEnd w:id="0"/>
    </w:p>
    <w:p w14:paraId="4FFA4FAE">
      <w:pPr>
        <w:spacing w:before="120" w:after="120" w:line="288" w:lineRule="auto"/>
        <w:ind w:left="0"/>
        <w:jc w:val="left"/>
      </w:pPr>
      <w:r>
        <w:rPr>
          <w:rFonts w:ascii="Arial" w:hAnsi="Arial" w:eastAsia="等线" w:cs="Arial"/>
          <w:sz w:val="22"/>
        </w:rPr>
        <w:t>本实验围绕人文论证的可复现性边界展开，采用控制实验范式，通过基准构建、工具验证、模型实验、命题解析、语义判定、指标计算、分层统计分析的完整流程，探究问题意识、上下文规模对人文史学论证收敛度的影响，并对比不同人文子领域的可复现性梯度，明确人文论证可复现性的约束条件与边界特征。</w:t>
      </w:r>
    </w:p>
    <w:p w14:paraId="394D358C">
      <w:pPr>
        <w:spacing w:before="320" w:after="120" w:line="288" w:lineRule="auto"/>
        <w:ind w:left="0"/>
        <w:jc w:val="left"/>
        <w:outlineLvl w:val="1"/>
      </w:pPr>
      <w:bookmarkStart w:id="1" w:name="heading_1"/>
      <w:r>
        <w:rPr>
          <w:rFonts w:ascii="Arial" w:hAnsi="Arial" w:eastAsia="等线" w:cs="Arial"/>
          <w:b/>
          <w:sz w:val="32"/>
        </w:rPr>
        <w:t>二、分步详细实验流程</w:t>
      </w:r>
      <w:bookmarkEnd w:id="1"/>
    </w:p>
    <w:p w14:paraId="235C34E3">
      <w:pPr>
        <w:spacing w:before="300" w:after="120" w:line="288" w:lineRule="auto"/>
        <w:ind w:left="0"/>
        <w:jc w:val="left"/>
        <w:outlineLvl w:val="2"/>
      </w:pPr>
      <w:bookmarkStart w:id="2" w:name="heading_2"/>
      <w:r>
        <w:rPr>
          <w:rFonts w:ascii="Arial" w:hAnsi="Arial" w:eastAsia="等线" w:cs="Arial"/>
          <w:b/>
          <w:sz w:val="30"/>
        </w:rPr>
        <w:t>第一步：基准构建（单论文独立基准包搭建）</w:t>
      </w:r>
      <w:bookmarkEnd w:id="2"/>
    </w:p>
    <w:p w14:paraId="77771D3C">
      <w:pPr>
        <w:spacing w:before="120" w:after="120" w:line="288" w:lineRule="auto"/>
        <w:ind w:left="0"/>
        <w:jc w:val="left"/>
      </w:pPr>
      <w:r>
        <w:rPr>
          <w:rFonts w:ascii="Arial" w:hAnsi="Arial" w:eastAsia="等线" w:cs="Arial"/>
          <w:sz w:val="22"/>
        </w:rPr>
        <w:t>为每篇实验论文构建专属独立基准包，统一所有底层实验素材，保障后续实验对照的标准化，具体操作如下：</w:t>
      </w:r>
    </w:p>
    <w:p w14:paraId="146ED75A">
      <w:pPr>
        <w:spacing w:before="260" w:after="120" w:line="288" w:lineRule="auto"/>
        <w:ind w:left="0"/>
        <w:jc w:val="left"/>
        <w:outlineLvl w:val="3"/>
      </w:pPr>
      <w:bookmarkStart w:id="3" w:name="heading_3"/>
      <w:r>
        <w:rPr>
          <w:rFonts w:ascii="Arial" w:hAnsi="Arial" w:eastAsia="等线" w:cs="Arial"/>
          <w:b/>
          <w:sz w:val="28"/>
        </w:rPr>
        <w:t>1. 中性研究问题（中性 Q）提取</w:t>
      </w:r>
      <w:bookmarkEnd w:id="3"/>
    </w:p>
    <w:p w14:paraId="25ABE938">
      <w:pPr>
        <w:spacing w:before="120" w:after="120" w:line="288" w:lineRule="auto"/>
        <w:ind w:left="0"/>
        <w:jc w:val="left"/>
      </w:pPr>
      <w:r>
        <w:rPr>
          <w:rFonts w:ascii="Arial" w:hAnsi="Arial" w:eastAsia="等线" w:cs="Arial"/>
          <w:sz w:val="22"/>
        </w:rPr>
        <w:t>从论文摘要、引言中提取原始研究问题，严格遵循中性化改写规则：剔除所有因果方向词、结论倾向性词汇、价值判断词汇，统一改写为两类标准化句式，即“X 与 Y 的关系”“X 是否 Z”。所有改写结果由第二名研究人员交叉核对，无法完成合规中性化的论文直接替换，杜绝主观偏差。</w:t>
      </w:r>
    </w:p>
    <w:p w14:paraId="1EB9B372">
      <w:pPr>
        <w:spacing w:before="260" w:after="120" w:line="288" w:lineRule="auto"/>
        <w:ind w:left="0"/>
        <w:jc w:val="left"/>
        <w:outlineLvl w:val="3"/>
      </w:pPr>
      <w:bookmarkStart w:id="4" w:name="heading_4"/>
      <w:r>
        <w:rPr>
          <w:rFonts w:ascii="Arial" w:hAnsi="Arial" w:eastAsia="等线" w:cs="Arial"/>
          <w:b/>
          <w:sz w:val="28"/>
        </w:rPr>
        <w:t>2. 顶层论点（A</w:t>
      </w:r>
      <w:r>
        <w:rPr>
          <w:rFonts w:hint="eastAsia" w:ascii="Arial" w:hAnsi="Arial" w:eastAsia="等线" w:cs="Arial"/>
          <w:b/>
          <w:sz w:val="28"/>
          <w:vertAlign w:val="subscript"/>
          <w:lang w:val="en-US" w:eastAsia="zh-CN"/>
        </w:rPr>
        <w:t>n</w:t>
      </w:r>
      <w:r>
        <w:rPr>
          <w:rFonts w:ascii="Arial" w:hAnsi="Arial" w:eastAsia="等线" w:cs="Arial"/>
          <w:b/>
          <w:sz w:val="28"/>
        </w:rPr>
        <w:t>）提取</w:t>
      </w:r>
      <w:bookmarkEnd w:id="4"/>
    </w:p>
    <w:p w14:paraId="7B6004BF">
      <w:pPr>
        <w:spacing w:before="120" w:after="120" w:line="288" w:lineRule="auto"/>
        <w:ind w:left="0"/>
        <w:jc w:val="left"/>
      </w:pPr>
      <w:r>
        <w:rPr>
          <w:rFonts w:ascii="Arial" w:hAnsi="Arial" w:eastAsia="等线" w:cs="Arial"/>
          <w:sz w:val="22"/>
        </w:rPr>
        <w:t>筛选论文核心最高层论点，剔除修辞性修饰语句，完整保留论点核心方向。A_H 为带明确判断方向的结论，不做中性化处理，作为人类论证链的顶层基准。</w:t>
      </w:r>
    </w:p>
    <w:p w14:paraId="6B6B78B0">
      <w:pPr>
        <w:spacing w:before="260" w:after="120" w:line="288" w:lineRule="auto"/>
        <w:ind w:left="0"/>
        <w:jc w:val="left"/>
        <w:outlineLvl w:val="3"/>
      </w:pPr>
      <w:bookmarkStart w:id="5" w:name="heading_5"/>
      <w:r>
        <w:rPr>
          <w:rFonts w:ascii="Arial" w:hAnsi="Arial" w:eastAsia="等线" w:cs="Arial"/>
          <w:b/>
          <w:sz w:val="28"/>
        </w:rPr>
        <w:t>3. 人类标准论证链构建</w:t>
      </w:r>
      <w:bookmarkEnd w:id="5"/>
    </w:p>
    <w:p w14:paraId="28028855">
      <w:pPr>
        <w:spacing w:before="120" w:after="120" w:line="288" w:lineRule="auto"/>
        <w:ind w:left="0"/>
        <w:jc w:val="left"/>
      </w:pPr>
      <w:r>
        <w:rPr>
          <w:rFonts w:hint="eastAsia" w:ascii="Arial" w:hAnsi="Arial" w:eastAsia="等线" w:cs="Arial"/>
          <w:sz w:val="22"/>
          <w:lang w:val="en-US" w:eastAsia="zh-CN"/>
        </w:rPr>
        <w:t>由于大模型在预实验提取全篇论文证据链过程中缺乏稳健性，主实验采取依托论文空间结构来构建论证链，用各层级小标题作为文章层级，保证数目稳定，如小标题A1下有二级小标题B</w:t>
      </w:r>
      <w:r>
        <w:rPr>
          <w:rFonts w:hint="eastAsia" w:ascii="Arial" w:hAnsi="Arial" w:eastAsia="等线" w:cs="Arial"/>
          <w:sz w:val="22"/>
          <w:vertAlign w:val="subscript"/>
          <w:lang w:val="en-US" w:eastAsia="zh-CN"/>
        </w:rPr>
        <w:t>11</w:t>
      </w:r>
      <w:r>
        <w:rPr>
          <w:rFonts w:hint="eastAsia" w:ascii="Arial" w:hAnsi="Arial" w:eastAsia="等线" w:cs="Arial"/>
          <w:sz w:val="22"/>
          <w:lang w:val="en-US" w:eastAsia="zh-CN"/>
        </w:rPr>
        <w:t>、B</w:t>
      </w:r>
      <w:r>
        <w:rPr>
          <w:rFonts w:hint="eastAsia" w:ascii="Arial" w:hAnsi="Arial" w:eastAsia="等线" w:cs="Arial"/>
          <w:sz w:val="22"/>
          <w:vertAlign w:val="subscript"/>
          <w:lang w:val="en-US" w:eastAsia="zh-CN"/>
        </w:rPr>
        <w:t>12</w:t>
      </w:r>
      <w:r>
        <w:rPr>
          <w:rFonts w:hint="eastAsia" w:ascii="Arial" w:hAnsi="Arial" w:eastAsia="等线" w:cs="Arial"/>
          <w:sz w:val="22"/>
          <w:lang w:val="en-US" w:eastAsia="zh-CN"/>
        </w:rPr>
        <w:t>,又有C</w:t>
      </w:r>
      <w:r>
        <w:rPr>
          <w:rFonts w:hint="eastAsia" w:ascii="Arial" w:hAnsi="Arial" w:eastAsia="等线" w:cs="Arial"/>
          <w:sz w:val="22"/>
          <w:vertAlign w:val="subscript"/>
          <w:lang w:val="en-US" w:eastAsia="zh-CN"/>
        </w:rPr>
        <w:t>111</w:t>
      </w:r>
      <w:r>
        <w:rPr>
          <w:rFonts w:hint="eastAsia" w:ascii="Arial" w:hAnsi="Arial" w:eastAsia="等线" w:cs="Arial"/>
          <w:sz w:val="22"/>
          <w:lang w:val="en-US" w:eastAsia="zh-CN"/>
        </w:rPr>
        <w:t>、C</w:t>
      </w:r>
      <w:r>
        <w:rPr>
          <w:rFonts w:hint="eastAsia" w:ascii="Arial" w:hAnsi="Arial" w:eastAsia="等线" w:cs="Arial"/>
          <w:sz w:val="22"/>
          <w:vertAlign w:val="subscript"/>
          <w:lang w:val="en-US" w:eastAsia="zh-CN"/>
        </w:rPr>
        <w:t>112</w:t>
      </w:r>
      <w:r>
        <w:rPr>
          <w:rFonts w:hint="eastAsia" w:ascii="Arial" w:hAnsi="Arial" w:eastAsia="等线" w:cs="Arial"/>
          <w:sz w:val="22"/>
          <w:lang w:val="en-US" w:eastAsia="zh-CN"/>
        </w:rPr>
        <w:t>, C</w:t>
      </w:r>
      <w:r>
        <w:rPr>
          <w:rFonts w:hint="eastAsia" w:ascii="Arial" w:hAnsi="Arial" w:eastAsia="等线" w:cs="Arial"/>
          <w:sz w:val="22"/>
          <w:vertAlign w:val="subscript"/>
          <w:lang w:val="en-US" w:eastAsia="zh-CN"/>
        </w:rPr>
        <w:t>121</w:t>
      </w:r>
      <w:r>
        <w:rPr>
          <w:rFonts w:hint="eastAsia" w:ascii="Arial" w:hAnsi="Arial" w:eastAsia="等线" w:cs="Arial"/>
          <w:sz w:val="22"/>
          <w:lang w:val="en-US" w:eastAsia="zh-CN"/>
        </w:rPr>
        <w:t>、C</w:t>
      </w:r>
      <w:r>
        <w:rPr>
          <w:rFonts w:hint="eastAsia" w:ascii="Arial" w:hAnsi="Arial" w:eastAsia="等线" w:cs="Arial"/>
          <w:sz w:val="22"/>
          <w:vertAlign w:val="subscript"/>
          <w:lang w:val="en-US" w:eastAsia="zh-CN"/>
        </w:rPr>
        <w:t>122</w:t>
      </w:r>
      <w:r>
        <w:rPr>
          <w:rFonts w:hint="eastAsia" w:ascii="Arial" w:hAnsi="Arial" w:eastAsia="等线" w:cs="Arial"/>
          <w:sz w:val="22"/>
          <w:lang w:val="en-US" w:eastAsia="zh-CN"/>
        </w:rPr>
        <w:t>各两个段落,每个段落又匹配若干个史料，计为M</w:t>
      </w:r>
      <w:r>
        <w:rPr>
          <w:rFonts w:hint="eastAsia" w:ascii="Arial" w:hAnsi="Arial" w:eastAsia="等线" w:cs="Arial"/>
          <w:sz w:val="22"/>
          <w:lang w:val="en-US" w:eastAsia="zh"/>
          <w:woUserID w:val="1"/>
        </w:rPr>
        <w:t>n</w:t>
      </w:r>
      <w:r>
        <w:rPr>
          <w:rFonts w:hint="eastAsia" w:ascii="Arial" w:hAnsi="Arial" w:eastAsia="等线" w:cs="Arial"/>
          <w:sz w:val="22"/>
          <w:lang w:val="en-US" w:eastAsia="zh-CN"/>
        </w:rPr>
        <w:t>，则逻辑链可以操作为，有大模型分别概括每个C作为C的论点，概括C</w:t>
      </w:r>
      <w:r>
        <w:rPr>
          <w:rFonts w:hint="eastAsia" w:ascii="Arial" w:hAnsi="Arial" w:eastAsia="等线" w:cs="Arial"/>
          <w:sz w:val="22"/>
          <w:vertAlign w:val="subscript"/>
          <w:lang w:val="en-US" w:eastAsia="zh-CN"/>
        </w:rPr>
        <w:t>111</w:t>
      </w:r>
      <w:r>
        <w:rPr>
          <w:rFonts w:hint="eastAsia" w:ascii="Arial" w:hAnsi="Arial" w:eastAsia="等线" w:cs="Arial"/>
          <w:sz w:val="22"/>
          <w:lang w:val="en-US" w:eastAsia="zh-CN"/>
        </w:rPr>
        <w:t>C</w:t>
      </w:r>
      <w:r>
        <w:rPr>
          <w:rFonts w:hint="eastAsia" w:ascii="Arial" w:hAnsi="Arial" w:eastAsia="等线" w:cs="Arial"/>
          <w:sz w:val="22"/>
          <w:vertAlign w:val="subscript"/>
          <w:lang w:val="en-US" w:eastAsia="zh-CN"/>
        </w:rPr>
        <w:t>112</w:t>
      </w:r>
      <w:r>
        <w:rPr>
          <w:rFonts w:hint="eastAsia" w:ascii="Arial" w:hAnsi="Arial" w:eastAsia="等线" w:cs="Arial"/>
          <w:sz w:val="22"/>
          <w:lang w:val="en-US" w:eastAsia="zh-CN"/>
        </w:rPr>
        <w:t>作为B</w:t>
      </w:r>
      <w:r>
        <w:rPr>
          <w:rFonts w:hint="eastAsia" w:ascii="Arial" w:hAnsi="Arial" w:eastAsia="等线" w:cs="Arial"/>
          <w:sz w:val="22"/>
          <w:vertAlign w:val="subscript"/>
          <w:lang w:val="en-US" w:eastAsia="zh-CN"/>
        </w:rPr>
        <w:t>11</w:t>
      </w:r>
      <w:r>
        <w:rPr>
          <w:rFonts w:hint="eastAsia" w:ascii="Arial" w:hAnsi="Arial" w:eastAsia="等线" w:cs="Arial"/>
          <w:sz w:val="22"/>
          <w:lang w:val="en-US" w:eastAsia="zh-CN"/>
        </w:rPr>
        <w:t>以此类推，构建A、B、C...M的论证树</w:t>
      </w:r>
      <w:r>
        <w:rPr>
          <w:rFonts w:ascii="Arial" w:hAnsi="Arial" w:eastAsia="等线" w:cs="Arial"/>
          <w:sz w:val="22"/>
        </w:rPr>
        <w:t>。</w:t>
      </w:r>
    </w:p>
    <w:p w14:paraId="453CD2AD">
      <w:pPr>
        <w:spacing w:before="260" w:after="120" w:line="288" w:lineRule="auto"/>
        <w:ind w:left="0"/>
        <w:jc w:val="left"/>
        <w:outlineLvl w:val="3"/>
      </w:pPr>
      <w:bookmarkStart w:id="6" w:name="heading_6"/>
      <w:r>
        <w:rPr>
          <w:rFonts w:ascii="Arial" w:hAnsi="Arial" w:eastAsia="等线" w:cs="Arial"/>
          <w:b/>
          <w:sz w:val="28"/>
        </w:rPr>
        <w:t>4. 史料池（source</w:t>
      </w:r>
      <w:r>
        <w:rPr>
          <w:rFonts w:hint="eastAsia" w:ascii="Arial" w:hAnsi="Arial" w:eastAsia="等线" w:cs="Arial"/>
          <w:b/>
          <w:sz w:val="28"/>
          <w:lang w:val="en-US" w:eastAsia="zh-CN"/>
        </w:rPr>
        <w:t xml:space="preserve"> </w:t>
      </w:r>
      <w:r>
        <w:rPr>
          <w:rFonts w:ascii="Arial" w:hAnsi="Arial" w:eastAsia="等线" w:cs="Arial"/>
          <w:b/>
          <w:sz w:val="28"/>
        </w:rPr>
        <w:t>pool）构建</w:t>
      </w:r>
      <w:bookmarkEnd w:id="6"/>
    </w:p>
    <w:p w14:paraId="71A719A5">
      <w:pPr>
        <w:spacing w:before="120" w:after="120" w:line="288" w:lineRule="auto"/>
        <w:ind w:left="0"/>
        <w:jc w:val="left"/>
      </w:pPr>
      <w:r>
        <w:rPr>
          <w:rFonts w:ascii="Arial" w:hAnsi="Arial" w:eastAsia="等线" w:cs="Arial"/>
          <w:sz w:val="22"/>
        </w:rPr>
        <w:t>全面提取论文用到的全部一手史料，划分独立史料单元（M）。单个史料单元具备清晰文本边界与唯一核心句，所有史料单元边界无重叠、无交叉；连续长篇史料按段落规范切分，保证单元独立性与完整性</w:t>
      </w:r>
      <w:r>
        <w:rPr>
          <w:rFonts w:hint="eastAsia" w:ascii="Arial" w:hAnsi="Arial" w:eastAsia="等线" w:cs="Arial"/>
          <w:sz w:val="22"/>
          <w:lang w:eastAsia="zh-CN"/>
        </w:rPr>
        <w:t>，</w:t>
      </w:r>
      <w:r>
        <w:rPr>
          <w:rFonts w:hint="eastAsia" w:ascii="Arial" w:hAnsi="Arial" w:eastAsia="等线" w:cs="Arial"/>
          <w:sz w:val="22"/>
          <w:lang w:val="en-US" w:eastAsia="zh-CN"/>
        </w:rPr>
        <w:t>为某一篇论文建设独立的史料池</w:t>
      </w:r>
      <w:r>
        <w:rPr>
          <w:rFonts w:ascii="Arial" w:hAnsi="Arial" w:eastAsia="等线" w:cs="Arial"/>
          <w:sz w:val="22"/>
        </w:rPr>
        <w:t>。</w:t>
      </w:r>
    </w:p>
    <w:p w14:paraId="7491E44C">
      <w:pPr>
        <w:spacing w:before="260" w:after="120" w:line="288" w:lineRule="auto"/>
        <w:ind w:left="0"/>
        <w:jc w:val="left"/>
        <w:outlineLvl w:val="3"/>
      </w:pPr>
      <w:bookmarkStart w:id="7" w:name="heading_7"/>
      <w:r>
        <w:rPr>
          <w:rFonts w:ascii="Arial" w:hAnsi="Arial" w:eastAsia="等线" w:cs="Arial"/>
          <w:b/>
          <w:sz w:val="28"/>
        </w:rPr>
        <w:t>5. 三种上下文版本制作</w:t>
      </w:r>
      <w:bookmarkEnd w:id="7"/>
    </w:p>
    <w:p w14:paraId="437906C9">
      <w:pPr>
        <w:spacing w:before="120" w:after="120" w:line="288" w:lineRule="auto"/>
        <w:ind w:left="0"/>
        <w:jc w:val="left"/>
      </w:pPr>
      <w:r>
        <w:rPr>
          <w:rFonts w:ascii="Arial" w:hAnsi="Arial" w:eastAsia="等线" w:cs="Arial"/>
          <w:sz w:val="22"/>
        </w:rPr>
        <w:t>固定所有史料单元 M 的身份与核心内容，仅调整模型读取的上下文窗口大小，生成三类实验版本：</w:t>
      </w:r>
    </w:p>
    <w:p w14:paraId="5331984D">
      <w:pPr>
        <w:numPr>
          <w:ilvl w:val="0"/>
          <w:numId w:val="1"/>
        </w:numPr>
        <w:spacing w:before="120" w:after="120" w:line="288" w:lineRule="auto"/>
        <w:ind w:left="0"/>
        <w:jc w:val="left"/>
      </w:pPr>
      <w:r>
        <w:rPr>
          <w:rFonts w:ascii="Arial" w:hAnsi="Arial" w:eastAsia="等线" w:cs="Arial"/>
          <w:sz w:val="22"/>
        </w:rPr>
        <w:t>Small（小规模上下文）：</w:t>
      </w:r>
      <w:r>
        <w:rPr>
          <w:rFonts w:hint="eastAsia" w:ascii="Arial" w:hAnsi="Arial" w:eastAsia="等线" w:cs="Arial"/>
          <w:sz w:val="22"/>
          <w:lang w:val="en-US" w:eastAsia="zh-CN"/>
        </w:rPr>
        <w:t>原句</w:t>
      </w:r>
    </w:p>
    <w:p w14:paraId="66B2C9FD">
      <w:pPr>
        <w:numPr>
          <w:ilvl w:val="0"/>
          <w:numId w:val="2"/>
        </w:numPr>
        <w:spacing w:before="120" w:after="120" w:line="288" w:lineRule="auto"/>
        <w:ind w:left="0"/>
        <w:jc w:val="left"/>
      </w:pPr>
      <w:r>
        <w:rPr>
          <w:rFonts w:ascii="Arial" w:hAnsi="Arial" w:eastAsia="等线" w:cs="Arial"/>
          <w:sz w:val="22"/>
        </w:rPr>
        <w:t>Medium（中等规模上下文）：核心句 ± 中等字数</w:t>
      </w:r>
    </w:p>
    <w:p w14:paraId="17837CCE">
      <w:pPr>
        <w:numPr>
          <w:ilvl w:val="0"/>
          <w:numId w:val="3"/>
        </w:numPr>
        <w:spacing w:before="120" w:after="120" w:line="288" w:lineRule="auto"/>
        <w:ind w:left="0"/>
        <w:jc w:val="left"/>
      </w:pPr>
      <w:r>
        <w:rPr>
          <w:rFonts w:ascii="Arial" w:hAnsi="Arial" w:eastAsia="等线" w:cs="Arial"/>
          <w:sz w:val="22"/>
        </w:rPr>
        <w:t>Large（大规模上下文）：完整史料单元全文</w:t>
      </w:r>
    </w:p>
    <w:p w14:paraId="0E47D818">
      <w:pPr>
        <w:spacing w:before="260" w:after="120" w:line="288" w:lineRule="auto"/>
        <w:ind w:left="0"/>
        <w:jc w:val="left"/>
        <w:outlineLvl w:val="3"/>
      </w:pPr>
      <w:bookmarkStart w:id="8" w:name="heading_8"/>
      <w:r>
        <w:rPr>
          <w:rFonts w:ascii="Arial" w:hAnsi="Arial" w:eastAsia="等线" w:cs="Arial"/>
          <w:b/>
          <w:sz w:val="28"/>
        </w:rPr>
        <w:t>6. 阶段产出</w:t>
      </w:r>
      <w:bookmarkEnd w:id="8"/>
    </w:p>
    <w:p w14:paraId="020F61BE">
      <w:pPr>
        <w:spacing w:before="120" w:after="120" w:line="288" w:lineRule="auto"/>
        <w:ind w:left="0"/>
        <w:jc w:val="left"/>
      </w:pPr>
      <w:r>
        <w:rPr>
          <w:rFonts w:ascii="Arial" w:hAnsi="Arial" w:eastAsia="等线" w:cs="Arial"/>
          <w:sz w:val="22"/>
        </w:rPr>
        <w:t>单篇论文对应一套完整基准包，包含：中性 Q、顶层论点 A_H、人类标准论证链、史料池 source_pool、史料单元 M 及对应核心句、S/M/L 三类上下文版本。</w:t>
      </w:r>
    </w:p>
    <w:p w14:paraId="3498E3CF">
      <w:pPr>
        <w:spacing w:before="300" w:after="120" w:line="288" w:lineRule="auto"/>
        <w:ind w:left="0"/>
        <w:jc w:val="left"/>
        <w:outlineLvl w:val="2"/>
      </w:pPr>
      <w:bookmarkStart w:id="9" w:name="heading_9"/>
      <w:r>
        <w:rPr>
          <w:rFonts w:ascii="Arial" w:hAnsi="Arial" w:eastAsia="等线" w:cs="Arial"/>
          <w:b/>
          <w:sz w:val="30"/>
        </w:rPr>
        <w:t>第二步：H₀ 仪器验证（工具有效性校验，子集实验，建议5篇样本）</w:t>
      </w:r>
      <w:bookmarkEnd w:id="9"/>
    </w:p>
    <w:p w14:paraId="0D15DB62">
      <w:pPr>
        <w:spacing w:before="120" w:after="120" w:line="288" w:lineRule="auto"/>
        <w:ind w:left="0"/>
        <w:jc w:val="left"/>
      </w:pPr>
      <w:r>
        <w:rPr>
          <w:rFonts w:ascii="Arial" w:hAnsi="Arial" w:eastAsia="等线" w:cs="Arial"/>
          <w:sz w:val="22"/>
        </w:rPr>
        <w:t>正式实验启动前，在完全隔离的实验条件下完成测量工具全维度验证，未通过验证则禁止进入正式实验环节，保障实验数据可信性与稳定性。</w:t>
      </w:r>
    </w:p>
    <w:p w14:paraId="33517149">
      <w:pPr>
        <w:spacing w:before="260" w:after="120" w:line="288" w:lineRule="auto"/>
        <w:ind w:left="0"/>
        <w:jc w:val="left"/>
        <w:outlineLvl w:val="3"/>
      </w:pPr>
      <w:bookmarkStart w:id="10" w:name="heading_10"/>
      <w:r>
        <w:rPr>
          <w:rFonts w:ascii="Arial" w:hAnsi="Arial" w:eastAsia="等线" w:cs="Arial"/>
          <w:b/>
          <w:sz w:val="28"/>
        </w:rPr>
        <w:t>1. 原子化保真验证</w:t>
      </w:r>
      <w:bookmarkEnd w:id="10"/>
    </w:p>
    <w:p w14:paraId="6DAAA255">
      <w:pPr>
        <w:spacing w:before="120" w:after="120" w:line="288" w:lineRule="auto"/>
        <w:ind w:left="0"/>
        <w:jc w:val="left"/>
      </w:pPr>
      <w:r>
        <w:rPr>
          <w:rFonts w:ascii="Arial" w:hAnsi="Arial" w:eastAsia="等线" w:cs="Arial"/>
          <w:sz w:val="22"/>
        </w:rPr>
        <w:t>对照原始实验输出结果，核验命题切分质量，统计文本遗漏、内容冗余添加、核心限定条件丢失三类错误的错误率，并整理典型错误案例。对同一组输出内容重复完成3次原子化处理，计算命题数量的变异系数，验证原子化操作稳定性。</w:t>
      </w:r>
    </w:p>
    <w:p w14:paraId="4F6CA165">
      <w:pPr>
        <w:spacing w:before="260" w:after="120" w:line="288" w:lineRule="auto"/>
        <w:ind w:left="0"/>
        <w:jc w:val="left"/>
        <w:outlineLvl w:val="3"/>
      </w:pPr>
      <w:bookmarkStart w:id="11" w:name="heading_11"/>
      <w:r>
        <w:rPr>
          <w:rFonts w:ascii="Arial" w:hAnsi="Arial" w:eastAsia="等线" w:cs="Arial"/>
          <w:b/>
          <w:sz w:val="28"/>
        </w:rPr>
        <w:t>2. 等义判定有效性验证</w:t>
      </w:r>
      <w:bookmarkEnd w:id="11"/>
    </w:p>
    <w:p w14:paraId="01E5E5F5">
      <w:pPr>
        <w:spacing w:before="120" w:after="120" w:line="288" w:lineRule="auto"/>
        <w:ind w:left="0"/>
        <w:jc w:val="left"/>
      </w:pPr>
      <w:r>
        <w:rPr>
          <w:rFonts w:ascii="Arial" w:hAnsi="Arial" w:eastAsia="等线" w:cs="Arial"/>
          <w:sz w:val="22"/>
        </w:rPr>
        <w:t>采用双人独立标注+争议裁决机制，构建两类测试样本：自然常规样本、特殊挑战样本（含否定表述、数字量化、因果推导类文本）。统计标注前后一致率、Cohen κ系数，计算合并精确率、召回率、F1值，验证等义判定规则的有效性。</w:t>
      </w:r>
    </w:p>
    <w:p w14:paraId="6ED4CC07">
      <w:pPr>
        <w:spacing w:before="260" w:after="120" w:line="288" w:lineRule="auto"/>
        <w:ind w:left="0"/>
        <w:jc w:val="left"/>
        <w:outlineLvl w:val="3"/>
      </w:pPr>
      <w:bookmarkStart w:id="12" w:name="heading_12"/>
      <w:r>
        <w:rPr>
          <w:rFonts w:ascii="Arial" w:hAnsi="Arial" w:eastAsia="等线" w:cs="Arial"/>
          <w:b/>
          <w:sz w:val="28"/>
        </w:rPr>
        <w:t>3. 类别划分有效性验证</w:t>
      </w:r>
      <w:bookmarkEnd w:id="12"/>
    </w:p>
    <w:p w14:paraId="492ADAB1">
      <w:pPr>
        <w:spacing w:before="120" w:after="120" w:line="288" w:lineRule="auto"/>
        <w:ind w:left="0"/>
        <w:jc w:val="left"/>
      </w:pPr>
      <w:r>
        <w:rPr>
          <w:rFonts w:ascii="Arial" w:hAnsi="Arial" w:eastAsia="等线" w:cs="Arial"/>
          <w:sz w:val="22"/>
        </w:rPr>
        <w:t>基于固定的原子命题全集，将机器自动分簇结果与人工标准参考分簇结果进行比对，计算B³精确率、召回率、F1值，统计机器与人工ACI′指标的差值，校验聚类分类精度。</w:t>
      </w:r>
    </w:p>
    <w:p w14:paraId="3C5BB225">
      <w:pPr>
        <w:spacing w:before="260" w:after="120" w:line="288" w:lineRule="auto"/>
        <w:ind w:left="0"/>
        <w:jc w:val="left"/>
        <w:outlineLvl w:val="3"/>
      </w:pPr>
      <w:bookmarkStart w:id="13" w:name="heading_13"/>
      <w:r>
        <w:rPr>
          <w:rFonts w:ascii="Arial" w:hAnsi="Arial" w:eastAsia="等线" w:cs="Arial"/>
          <w:b/>
          <w:sz w:val="28"/>
        </w:rPr>
        <w:t>4. 归一化稳定性验证</w:t>
      </w:r>
      <w:bookmarkEnd w:id="13"/>
    </w:p>
    <w:p w14:paraId="07862283">
      <w:pPr>
        <w:spacing w:before="120" w:after="120" w:line="288" w:lineRule="auto"/>
        <w:ind w:left="0"/>
        <w:jc w:val="left"/>
      </w:pPr>
      <w:r>
        <w:rPr>
          <w:rFonts w:ascii="Arial" w:hAnsi="Arial" w:eastAsia="等线" w:cs="Arial"/>
          <w:sz w:val="22"/>
        </w:rPr>
        <w:t>固定全部原子命题，先以相同命题顺序重复3次归一化操作；再采用3组预设随机命题顺序，打乱命题对排列顺序重复测试。统计标签翻转率、分簇一致性、ACI′指标的标准差与数值区间，验证归一化流程的稳定性。</w:t>
      </w:r>
    </w:p>
    <w:p w14:paraId="505F6653">
      <w:pPr>
        <w:spacing w:before="260" w:after="120" w:line="288" w:lineRule="auto"/>
        <w:ind w:left="0"/>
        <w:jc w:val="left"/>
        <w:outlineLvl w:val="3"/>
      </w:pPr>
      <w:bookmarkStart w:id="14" w:name="heading_14"/>
      <w:r>
        <w:rPr>
          <w:rFonts w:ascii="Arial" w:hAnsi="Arial" w:eastAsia="等线" w:cs="Arial"/>
          <w:b/>
          <w:sz w:val="28"/>
        </w:rPr>
        <w:t>5. 开发与验证分离机制</w:t>
      </w:r>
      <w:bookmarkEnd w:id="14"/>
    </w:p>
    <w:p w14:paraId="6014FBD2">
      <w:pPr>
        <w:spacing w:before="120" w:after="120" w:line="288" w:lineRule="auto"/>
        <w:ind w:left="0"/>
        <w:jc w:val="left"/>
        <w:rPr>
          <w:rFonts w:ascii="Arial" w:hAnsi="Arial" w:eastAsia="等线" w:cs="Arial"/>
          <w:sz w:val="22"/>
        </w:rPr>
      </w:pPr>
      <w:r>
        <w:rPr>
          <w:rFonts w:ascii="Arial" w:hAnsi="Arial" w:eastAsia="等线" w:cs="Arial"/>
          <w:sz w:val="22"/>
        </w:rPr>
        <w:t>划分独立开发集与冻结测试集：开发集用于迭代修订判定规则、模型提示词、候选召回参数；冻结测试集全程不参与迭代优化，仅用于最终实验方法效果评价，样本划分优先以完整论文为单位。验证过程需全覆盖未成功召回的潜在等义命题对，消除数据遗漏偏差。</w:t>
      </w:r>
    </w:p>
    <w:p w14:paraId="112E967D">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rPr>
        <w:t>6. 自标结构与盲态编码一致性验证</w:t>
      </w:r>
    </w:p>
    <w:p w14:paraId="3DE6A573">
      <w:pPr>
        <w:spacing w:before="120" w:after="120" w:line="288" w:lineRule="auto"/>
        <w:ind w:left="0"/>
        <w:jc w:val="left"/>
        <w:rPr>
          <w:rFonts w:ascii="Arial" w:hAnsi="Arial" w:eastAsia="等线" w:cs="Arial"/>
          <w:sz w:val="22"/>
        </w:rPr>
      </w:pPr>
      <w:r>
        <w:rPr>
          <w:rFonts w:hint="eastAsia" w:ascii="Arial" w:hAnsi="Arial" w:eastAsia="等线" w:cs="Arial"/>
          <w:sz w:val="22"/>
        </w:rPr>
        <w:t>同一批模型输出，分别用模型自标结构和盲态LLM独立编码，得到两套节点集合与边集合。报告节点数差异、边集合Jaccard、ACI/SCI差值。若一致性达标，自标结构作为补充报告；若不达标，仅使用盲态编码。主分析统一使用盲态编码。</w:t>
      </w:r>
    </w:p>
    <w:p w14:paraId="4DA2EB53">
      <w:pPr>
        <w:spacing w:before="300" w:after="120" w:line="288" w:lineRule="auto"/>
        <w:ind w:left="0"/>
        <w:jc w:val="left"/>
        <w:outlineLvl w:val="2"/>
      </w:pPr>
      <w:bookmarkStart w:id="15" w:name="heading_15"/>
      <w:r>
        <w:rPr>
          <w:rFonts w:ascii="Arial" w:hAnsi="Arial" w:eastAsia="等线" w:cs="Arial"/>
          <w:b/>
          <w:sz w:val="30"/>
        </w:rPr>
        <w:t>第三步：核心实验（模型侧控制实验）</w:t>
      </w:r>
      <w:bookmarkEnd w:id="15"/>
    </w:p>
    <w:p w14:paraId="27032F47">
      <w:pPr>
        <w:spacing w:before="260" w:after="120" w:line="288" w:lineRule="auto"/>
        <w:ind w:left="0"/>
        <w:jc w:val="left"/>
        <w:outlineLvl w:val="3"/>
      </w:pPr>
      <w:bookmarkStart w:id="16" w:name="heading_16"/>
      <w:r>
        <w:rPr>
          <w:rFonts w:ascii="Arial" w:hAnsi="Arial" w:eastAsia="等线" w:cs="Arial"/>
          <w:b/>
          <w:sz w:val="28"/>
        </w:rPr>
        <w:t>1. 实验因子设计（2×3完全因子设计）</w:t>
      </w:r>
      <w:bookmarkEnd w:id="16"/>
    </w:p>
    <w:p w14:paraId="782C3C68">
      <w:pPr>
        <w:spacing w:before="120" w:after="120" w:line="288" w:lineRule="auto"/>
        <w:ind w:left="0"/>
        <w:jc w:val="left"/>
      </w:pPr>
      <w:r>
        <w:rPr>
          <w:rFonts w:ascii="Arial" w:hAnsi="Arial" w:eastAsia="等线" w:cs="Arial"/>
          <w:sz w:val="22"/>
        </w:rPr>
        <w:t>自变量为问题意识、上下文规模，设置6组实验条件，全覆盖交叉组合：</w:t>
      </w:r>
    </w:p>
    <w:tbl>
      <w:tblPr>
        <w:tblStyle w:val="3"/>
        <w:tblW w:w="9660"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4081"/>
        <w:gridCol w:w="1341"/>
        <w:gridCol w:w="2066"/>
        <w:gridCol w:w="2172"/>
      </w:tblGrid>
      <w:tr w14:paraId="2C743E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4081" w:type="dxa"/>
            <w:tcBorders>
              <w:top w:val="single" w:color="auto" w:sz="12" w:space="0"/>
              <w:left w:val="nil"/>
              <w:bottom w:val="nil"/>
              <w:right w:val="nil"/>
            </w:tcBorders>
            <w:tcMar>
              <w:top w:w="60" w:type="dxa"/>
              <w:left w:w="120" w:type="dxa"/>
              <w:bottom w:w="30" w:type="dxa"/>
              <w:right w:w="120" w:type="dxa"/>
            </w:tcMar>
          </w:tcPr>
          <w:p w14:paraId="02A4EA50">
            <w:pPr>
              <w:snapToGrid w:val="0"/>
              <w:spacing w:before="120" w:after="120" w:line="288" w:lineRule="auto"/>
              <w:ind w:left="0"/>
              <w:jc w:val="left"/>
            </w:pPr>
            <w:r>
              <w:rPr>
                <w:rFonts w:ascii="Arial" w:hAnsi="Arial" w:eastAsia="等线" w:cs="Arial"/>
                <w:sz w:val="22"/>
              </w:rPr>
              <w:t>问题意识 \ 上下文规模</w:t>
            </w:r>
          </w:p>
        </w:tc>
        <w:tc>
          <w:tcPr>
            <w:tcW w:w="1341" w:type="dxa"/>
            <w:tcBorders>
              <w:top w:val="single" w:color="auto" w:sz="12" w:space="0"/>
              <w:left w:val="nil"/>
              <w:bottom w:val="nil"/>
              <w:right w:val="nil"/>
            </w:tcBorders>
            <w:tcMar>
              <w:top w:w="60" w:type="dxa"/>
              <w:left w:w="120" w:type="dxa"/>
              <w:bottom w:w="30" w:type="dxa"/>
              <w:right w:w="120" w:type="dxa"/>
            </w:tcMar>
          </w:tcPr>
          <w:p w14:paraId="0A6BF077">
            <w:pPr>
              <w:snapToGrid w:val="0"/>
              <w:spacing w:before="120" w:after="120" w:line="288" w:lineRule="auto"/>
              <w:ind w:left="0"/>
              <w:jc w:val="left"/>
            </w:pPr>
            <w:r>
              <w:rPr>
                <w:rFonts w:ascii="Arial" w:hAnsi="Arial" w:eastAsia="等线" w:cs="Arial"/>
                <w:sz w:val="22"/>
              </w:rPr>
              <w:t>Small</w:t>
            </w:r>
          </w:p>
        </w:tc>
        <w:tc>
          <w:tcPr>
            <w:tcW w:w="2066" w:type="dxa"/>
            <w:tcBorders>
              <w:top w:val="single" w:color="auto" w:sz="12" w:space="0"/>
              <w:left w:val="nil"/>
              <w:bottom w:val="nil"/>
              <w:right w:val="nil"/>
            </w:tcBorders>
            <w:tcMar>
              <w:top w:w="60" w:type="dxa"/>
              <w:left w:w="120" w:type="dxa"/>
              <w:bottom w:w="30" w:type="dxa"/>
              <w:right w:w="120" w:type="dxa"/>
            </w:tcMar>
          </w:tcPr>
          <w:p w14:paraId="0016BDF1">
            <w:pPr>
              <w:snapToGrid w:val="0"/>
              <w:spacing w:before="120" w:after="120" w:line="288" w:lineRule="auto"/>
              <w:ind w:left="0"/>
              <w:jc w:val="left"/>
            </w:pPr>
            <w:r>
              <w:rPr>
                <w:rFonts w:ascii="Arial" w:hAnsi="Arial" w:eastAsia="等线" w:cs="Arial"/>
                <w:sz w:val="22"/>
              </w:rPr>
              <w:t>Medium</w:t>
            </w:r>
          </w:p>
        </w:tc>
        <w:tc>
          <w:tcPr>
            <w:tcW w:w="2172" w:type="dxa"/>
            <w:tcBorders>
              <w:top w:val="single" w:color="auto" w:sz="12" w:space="0"/>
              <w:left w:val="nil"/>
              <w:bottom w:val="nil"/>
              <w:right w:val="nil"/>
            </w:tcBorders>
            <w:tcMar>
              <w:top w:w="60" w:type="dxa"/>
              <w:left w:w="120" w:type="dxa"/>
              <w:bottom w:w="30" w:type="dxa"/>
              <w:right w:w="120" w:type="dxa"/>
            </w:tcMar>
          </w:tcPr>
          <w:p w14:paraId="4B3AE8FD">
            <w:pPr>
              <w:snapToGrid w:val="0"/>
              <w:spacing w:before="120" w:after="120" w:line="288" w:lineRule="auto"/>
              <w:ind w:left="0"/>
              <w:jc w:val="left"/>
            </w:pPr>
            <w:r>
              <w:rPr>
                <w:rFonts w:ascii="Arial" w:hAnsi="Arial" w:eastAsia="等线" w:cs="Arial"/>
                <w:sz w:val="22"/>
              </w:rPr>
              <w:t>Large</w:t>
            </w:r>
          </w:p>
        </w:tc>
      </w:tr>
      <w:tr w14:paraId="36AE81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4081" w:type="dxa"/>
            <w:tcBorders>
              <w:top w:val="nil"/>
              <w:left w:val="nil"/>
              <w:bottom w:val="nil"/>
              <w:right w:val="nil"/>
            </w:tcBorders>
            <w:tcMar>
              <w:top w:w="60" w:type="dxa"/>
              <w:left w:w="120" w:type="dxa"/>
              <w:bottom w:w="30" w:type="dxa"/>
              <w:right w:w="120" w:type="dxa"/>
            </w:tcMar>
          </w:tcPr>
          <w:p w14:paraId="255F7512">
            <w:pPr>
              <w:snapToGrid w:val="0"/>
              <w:spacing w:before="120" w:after="120" w:line="288" w:lineRule="auto"/>
              <w:ind w:left="0"/>
              <w:jc w:val="left"/>
            </w:pPr>
            <w:r>
              <w:rPr>
                <w:rFonts w:hint="eastAsia" w:ascii="Arial" w:hAnsi="Arial" w:eastAsia="等线" w:cs="Arial"/>
                <w:sz w:val="22"/>
                <w:lang w:eastAsia="zh-CN"/>
              </w:rPr>
              <w:t>Q</w:t>
            </w:r>
            <w:r>
              <w:rPr>
                <w:rFonts w:ascii="Arial" w:hAnsi="Arial" w:eastAsia="等线" w:cs="Arial"/>
                <w:sz w:val="22"/>
              </w:rPr>
              <w:t>（论从史出）</w:t>
            </w:r>
          </w:p>
        </w:tc>
        <w:tc>
          <w:tcPr>
            <w:tcW w:w="1341" w:type="dxa"/>
            <w:tcBorders>
              <w:top w:val="nil"/>
              <w:left w:val="nil"/>
              <w:bottom w:val="nil"/>
              <w:right w:val="nil"/>
            </w:tcBorders>
            <w:tcMar>
              <w:top w:w="60" w:type="dxa"/>
              <w:left w:w="120" w:type="dxa"/>
              <w:bottom w:w="30" w:type="dxa"/>
              <w:right w:w="120" w:type="dxa"/>
            </w:tcMar>
          </w:tcPr>
          <w:p w14:paraId="51D0908C">
            <w:pPr>
              <w:snapToGrid w:val="0"/>
              <w:spacing w:before="120" w:after="120" w:line="288" w:lineRule="auto"/>
              <w:ind w:left="0"/>
              <w:jc w:val="left"/>
              <w:rPr>
                <w:rFonts w:hint="eastAsia" w:eastAsia="宋体"/>
                <w:lang w:eastAsia="zh"/>
                <w:woUserID w:val="1"/>
              </w:rPr>
            </w:pPr>
            <w:r>
              <w:rPr>
                <w:rFonts w:hint="eastAsia"/>
                <w:lang w:eastAsia="zh"/>
                <w:woUserID w:val="1"/>
              </w:rPr>
              <w:t>原句</w:t>
            </w:r>
          </w:p>
        </w:tc>
        <w:tc>
          <w:tcPr>
            <w:tcW w:w="2066" w:type="dxa"/>
            <w:tcBorders>
              <w:top w:val="nil"/>
              <w:left w:val="nil"/>
              <w:bottom w:val="nil"/>
              <w:right w:val="nil"/>
            </w:tcBorders>
            <w:tcMar>
              <w:top w:w="60" w:type="dxa"/>
              <w:left w:w="120" w:type="dxa"/>
              <w:bottom w:w="30" w:type="dxa"/>
              <w:right w:w="120" w:type="dxa"/>
            </w:tcMar>
          </w:tcPr>
          <w:p w14:paraId="77D4CF17">
            <w:pPr>
              <w:snapToGrid w:val="0"/>
              <w:spacing w:before="120" w:after="120" w:line="288" w:lineRule="auto"/>
              <w:ind w:left="0"/>
              <w:jc w:val="left"/>
              <w:rPr>
                <w:rFonts w:hint="eastAsia" w:eastAsia="宋体"/>
                <w:lang w:eastAsia="zh"/>
                <w:woUserID w:val="1"/>
              </w:rPr>
            </w:pPr>
            <w:r>
              <w:rPr>
                <w:rFonts w:hint="eastAsia"/>
                <w:lang w:eastAsia="zh"/>
                <w:woUserID w:val="1"/>
              </w:rPr>
              <w:t>段落（待定字数）</w:t>
            </w:r>
          </w:p>
        </w:tc>
        <w:tc>
          <w:tcPr>
            <w:tcW w:w="2172" w:type="dxa"/>
            <w:tcBorders>
              <w:top w:val="nil"/>
              <w:left w:val="nil"/>
              <w:bottom w:val="nil"/>
              <w:right w:val="nil"/>
            </w:tcBorders>
            <w:tcMar>
              <w:top w:w="60" w:type="dxa"/>
              <w:left w:w="120" w:type="dxa"/>
              <w:bottom w:w="30" w:type="dxa"/>
              <w:right w:w="120" w:type="dxa"/>
            </w:tcMar>
          </w:tcPr>
          <w:p w14:paraId="0FB758AA">
            <w:pPr>
              <w:snapToGrid w:val="0"/>
              <w:spacing w:before="120" w:after="120" w:line="288" w:lineRule="auto"/>
              <w:ind w:left="0"/>
              <w:jc w:val="left"/>
              <w:rPr>
                <w:rFonts w:hint="eastAsia" w:eastAsia="宋体"/>
                <w:lang w:eastAsia="zh"/>
                <w:woUserID w:val="1"/>
              </w:rPr>
            </w:pPr>
            <w:r>
              <w:rPr>
                <w:rFonts w:hint="eastAsia"/>
                <w:lang w:eastAsia="zh"/>
                <w:woUserID w:val="1"/>
              </w:rPr>
              <w:t>篇章（待定字数）</w:t>
            </w:r>
          </w:p>
        </w:tc>
      </w:tr>
      <w:tr w14:paraId="4D7A58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4081" w:type="dxa"/>
            <w:tcBorders>
              <w:top w:val="nil"/>
              <w:left w:val="nil"/>
              <w:bottom w:val="single" w:color="auto" w:sz="12" w:space="0"/>
              <w:right w:val="nil"/>
            </w:tcBorders>
            <w:tcMar>
              <w:top w:w="60" w:type="dxa"/>
              <w:left w:w="120" w:type="dxa"/>
              <w:bottom w:w="30" w:type="dxa"/>
              <w:right w:w="120" w:type="dxa"/>
            </w:tcMar>
          </w:tcPr>
          <w:p w14:paraId="4887D01E">
            <w:pPr>
              <w:snapToGrid w:val="0"/>
              <w:spacing w:before="120" w:after="120" w:line="288" w:lineRule="auto"/>
              <w:ind w:left="0"/>
              <w:jc w:val="left"/>
            </w:pPr>
            <w:r>
              <w:rPr>
                <w:rFonts w:ascii="Arial" w:hAnsi="Arial" w:eastAsia="等线" w:cs="Arial"/>
                <w:sz w:val="22"/>
              </w:rPr>
              <w:t>A（以论带史）</w:t>
            </w:r>
          </w:p>
        </w:tc>
        <w:tc>
          <w:tcPr>
            <w:tcW w:w="1341" w:type="dxa"/>
            <w:tcBorders>
              <w:top w:val="nil"/>
              <w:left w:val="nil"/>
              <w:bottom w:val="single" w:color="auto" w:sz="12" w:space="0"/>
              <w:right w:val="nil"/>
            </w:tcBorders>
            <w:tcMar>
              <w:top w:w="60" w:type="dxa"/>
              <w:left w:w="120" w:type="dxa"/>
              <w:bottom w:w="30" w:type="dxa"/>
              <w:right w:w="120" w:type="dxa"/>
            </w:tcMar>
          </w:tcPr>
          <w:p w14:paraId="3AA9D8DA">
            <w:pPr>
              <w:snapToGrid w:val="0"/>
              <w:spacing w:before="120" w:after="120" w:line="288" w:lineRule="auto"/>
              <w:ind w:left="0"/>
              <w:jc w:val="left"/>
              <w:rPr>
                <w:rFonts w:hint="eastAsia" w:eastAsia="宋体"/>
                <w:lang w:eastAsia="zh"/>
                <w:woUserID w:val="1"/>
              </w:rPr>
            </w:pPr>
            <w:r>
              <w:rPr>
                <w:rFonts w:hint="eastAsia"/>
                <w:lang w:eastAsia="zh"/>
                <w:woUserID w:val="1"/>
              </w:rPr>
              <w:t>原句</w:t>
            </w:r>
          </w:p>
        </w:tc>
        <w:tc>
          <w:tcPr>
            <w:tcW w:w="2066" w:type="dxa"/>
            <w:tcBorders>
              <w:top w:val="nil"/>
              <w:left w:val="nil"/>
              <w:bottom w:val="single" w:color="auto" w:sz="12" w:space="0"/>
              <w:right w:val="nil"/>
            </w:tcBorders>
            <w:tcMar>
              <w:top w:w="60" w:type="dxa"/>
              <w:left w:w="120" w:type="dxa"/>
              <w:bottom w:w="30" w:type="dxa"/>
              <w:right w:w="120" w:type="dxa"/>
            </w:tcMar>
          </w:tcPr>
          <w:p w14:paraId="26C5D4FD">
            <w:pPr>
              <w:snapToGrid w:val="0"/>
              <w:spacing w:before="120" w:after="120" w:line="288" w:lineRule="auto"/>
              <w:ind w:left="0"/>
              <w:jc w:val="left"/>
              <w:rPr>
                <w:rFonts w:hint="eastAsia" w:eastAsia="宋体"/>
                <w:lang w:eastAsia="zh"/>
                <w:woUserID w:val="1"/>
              </w:rPr>
            </w:pPr>
            <w:r>
              <w:rPr>
                <w:rFonts w:hint="eastAsia"/>
                <w:lang w:eastAsia="zh"/>
                <w:woUserID w:val="1"/>
              </w:rPr>
              <w:t>段落</w:t>
            </w:r>
          </w:p>
        </w:tc>
        <w:tc>
          <w:tcPr>
            <w:tcW w:w="2172" w:type="dxa"/>
            <w:tcBorders>
              <w:top w:val="nil"/>
              <w:left w:val="nil"/>
              <w:bottom w:val="single" w:color="auto" w:sz="12" w:space="0"/>
              <w:right w:val="nil"/>
            </w:tcBorders>
            <w:tcMar>
              <w:top w:w="60" w:type="dxa"/>
              <w:left w:w="120" w:type="dxa"/>
              <w:bottom w:w="30" w:type="dxa"/>
              <w:right w:w="120" w:type="dxa"/>
            </w:tcMar>
          </w:tcPr>
          <w:p w14:paraId="05A4E236">
            <w:pPr>
              <w:snapToGrid w:val="0"/>
              <w:spacing w:before="120" w:after="120" w:line="288" w:lineRule="auto"/>
              <w:ind w:left="0"/>
              <w:jc w:val="left"/>
              <w:rPr>
                <w:rFonts w:hint="eastAsia" w:eastAsia="宋体"/>
                <w:lang w:eastAsia="zh"/>
                <w:woUserID w:val="1"/>
              </w:rPr>
            </w:pPr>
            <w:r>
              <w:rPr>
                <w:rFonts w:hint="eastAsia"/>
                <w:lang w:eastAsia="zh"/>
                <w:woUserID w:val="1"/>
              </w:rPr>
              <w:t>篇章</w:t>
            </w:r>
          </w:p>
        </w:tc>
      </w:tr>
    </w:tbl>
    <w:p w14:paraId="1A6B4630">
      <w:pPr>
        <w:spacing w:before="260" w:after="120" w:line="288" w:lineRule="auto"/>
        <w:ind w:left="0"/>
        <w:jc w:val="left"/>
        <w:outlineLvl w:val="3"/>
      </w:pPr>
      <w:bookmarkStart w:id="17" w:name="heading_17"/>
      <w:r>
        <w:rPr>
          <w:rFonts w:ascii="Arial" w:hAnsi="Arial" w:eastAsia="等线" w:cs="Arial"/>
          <w:b/>
          <w:sz w:val="28"/>
        </w:rPr>
        <w:t>2. 实验控制规范</w:t>
      </w:r>
      <w:bookmarkEnd w:id="17"/>
    </w:p>
    <w:p w14:paraId="7D7E1FEF">
      <w:pPr>
        <w:numPr>
          <w:ilvl w:val="0"/>
          <w:numId w:val="4"/>
        </w:numPr>
        <w:spacing w:before="120" w:after="120" w:line="288" w:lineRule="auto"/>
        <w:ind w:left="0"/>
        <w:jc w:val="left"/>
      </w:pPr>
      <w:r>
        <w:rPr>
          <w:rFonts w:ascii="Arial" w:hAnsi="Arial" w:eastAsia="等线" w:cs="Arial"/>
          <w:sz w:val="22"/>
        </w:rPr>
        <w:t>单组实验条件独立运行 N=5–10 次重复实验</w:t>
      </w:r>
    </w:p>
    <w:p w14:paraId="73FC45EC">
      <w:pPr>
        <w:numPr>
          <w:ilvl w:val="0"/>
          <w:numId w:val="5"/>
        </w:numPr>
        <w:spacing w:before="120" w:after="120" w:line="288" w:lineRule="auto"/>
        <w:ind w:left="0"/>
        <w:jc w:val="left"/>
      </w:pPr>
      <w:r>
        <w:rPr>
          <w:rFonts w:ascii="Arial" w:hAnsi="Arial" w:eastAsia="等线" w:cs="Arial"/>
          <w:sz w:val="22"/>
        </w:rPr>
        <w:t>所有运行采用独立会话，无历史对话记忆干扰</w:t>
      </w:r>
    </w:p>
    <w:p w14:paraId="141E5CF5">
      <w:pPr>
        <w:numPr>
          <w:ilvl w:val="0"/>
          <w:numId w:val="6"/>
        </w:numPr>
        <w:spacing w:before="120" w:after="120" w:line="288" w:lineRule="auto"/>
        <w:ind w:left="0"/>
        <w:jc w:val="left"/>
      </w:pPr>
      <w:r>
        <w:rPr>
          <w:rFonts w:ascii="Arial" w:hAnsi="Arial" w:eastAsia="等线" w:cs="Arial"/>
          <w:sz w:val="22"/>
        </w:rPr>
        <w:t>模型temperature参数全程统一、全程记录留存</w:t>
      </w:r>
    </w:p>
    <w:p w14:paraId="2473BB84">
      <w:pPr>
        <w:numPr>
          <w:ilvl w:val="0"/>
          <w:numId w:val="7"/>
        </w:numPr>
        <w:spacing w:before="120" w:after="120" w:line="288" w:lineRule="auto"/>
        <w:ind w:left="0"/>
        <w:jc w:val="left"/>
      </w:pPr>
      <w:r>
        <w:rPr>
          <w:rFonts w:ascii="Arial" w:hAnsi="Arial" w:eastAsia="等线" w:cs="Arial"/>
          <w:sz w:val="22"/>
        </w:rPr>
        <w:t>所有实验运行顺序随机化，消除顺序偏差</w:t>
      </w:r>
    </w:p>
    <w:p w14:paraId="24B74968">
      <w:pPr>
        <w:numPr>
          <w:ilvl w:val="0"/>
          <w:numId w:val="8"/>
        </w:numPr>
        <w:spacing w:before="120" w:after="120" w:line="288" w:lineRule="auto"/>
        <w:ind w:left="0"/>
        <w:jc w:val="left"/>
      </w:pPr>
      <w:r>
        <w:rPr>
          <w:rFonts w:hint="eastAsia" w:ascii="Arial" w:hAnsi="Arial" w:eastAsia="等线" w:cs="Arial"/>
          <w:sz w:val="22"/>
          <w:lang w:eastAsia="zh-CN"/>
        </w:rPr>
        <w:t>Q</w:t>
      </w:r>
      <w:r>
        <w:rPr>
          <w:rFonts w:ascii="Arial" w:hAnsi="Arial" w:eastAsia="等线" w:cs="Arial"/>
          <w:sz w:val="22"/>
        </w:rPr>
        <w:t>组与A组实验完全隔离运行，无交叉干扰</w:t>
      </w:r>
    </w:p>
    <w:p w14:paraId="3DEDA2E9">
      <w:pPr>
        <w:numPr>
          <w:ilvl w:val="0"/>
          <w:numId w:val="9"/>
        </w:numPr>
        <w:spacing w:before="120" w:after="120" w:line="288" w:lineRule="auto"/>
        <w:ind w:left="0"/>
        <w:jc w:val="left"/>
      </w:pPr>
      <w:r>
        <w:rPr>
          <w:rFonts w:hint="eastAsia" w:ascii="Arial" w:hAnsi="Arial" w:eastAsia="等线" w:cs="Arial"/>
          <w:sz w:val="22"/>
        </w:rPr>
        <w:t>模型输出自然语言论证文本，要求围绕给定A_H组织论证，</w:t>
      </w:r>
      <w:r>
        <w:rPr>
          <w:rFonts w:hint="eastAsia" w:ascii="Arial" w:hAnsi="Arial" w:eastAsia="等线" w:cs="Arial"/>
          <w:sz w:val="22"/>
          <w:lang w:val="en-US" w:eastAsia="zh-CN"/>
        </w:rPr>
        <w:t>生成一篇完整的历史学论文，</w:t>
      </w:r>
      <w:r>
        <w:rPr>
          <w:rFonts w:hint="eastAsia" w:ascii="Arial" w:hAnsi="Arial" w:eastAsia="等线" w:cs="Arial"/>
          <w:sz w:val="22"/>
        </w:rPr>
        <w:t>每次使用史料时标注[M_id]，引用原文时标注[M_id:字符位置]。不要求模型自标A/B/C层级。结构由第四步盲态LLM独立编码。</w:t>
      </w:r>
    </w:p>
    <w:p w14:paraId="116F0340">
      <w:pPr>
        <w:spacing w:before="260" w:after="120" w:line="288" w:lineRule="auto"/>
        <w:ind w:left="0"/>
        <w:jc w:val="left"/>
        <w:outlineLvl w:val="3"/>
      </w:pPr>
      <w:bookmarkStart w:id="18" w:name="heading_18"/>
      <w:r>
        <w:rPr>
          <w:rFonts w:ascii="Arial" w:hAnsi="Arial" w:eastAsia="等线" w:cs="Arial"/>
          <w:b/>
          <w:sz w:val="28"/>
        </w:rPr>
        <w:t>3. 实验运行总量</w:t>
      </w:r>
      <w:bookmarkEnd w:id="18"/>
    </w:p>
    <w:p w14:paraId="2C0C24E7">
      <w:pPr>
        <w:spacing w:before="120" w:after="120" w:line="288" w:lineRule="auto"/>
        <w:ind w:left="0"/>
        <w:jc w:val="left"/>
        <w:rPr>
          <w:rFonts w:ascii="Arial" w:hAnsi="Arial" w:eastAsia="等线" w:cs="Arial"/>
          <w:sz w:val="22"/>
        </w:rPr>
      </w:pPr>
      <w:r>
        <w:rPr>
          <w:rFonts w:ascii="Arial" w:hAnsi="Arial" w:eastAsia="等线" w:cs="Arial"/>
          <w:sz w:val="22"/>
        </w:rPr>
        <w:t>30篇实验论文 × 6组实验条件 × 5–10次重复 = 900–1800次有效模型运行。</w:t>
      </w:r>
    </w:p>
    <w:p w14:paraId="50316E1C">
      <w:pPr>
        <w:spacing w:before="260" w:after="120" w:line="288" w:lineRule="auto"/>
        <w:ind w:left="0"/>
        <w:jc w:val="left"/>
        <w:outlineLvl w:val="3"/>
        <w:rPr>
          <w:rFonts w:hint="eastAsia" w:ascii="Arial" w:hAnsi="Arial" w:eastAsia="等线" w:cs="Arial"/>
          <w:b/>
          <w:sz w:val="28"/>
        </w:rPr>
      </w:pPr>
      <w:r>
        <w:rPr>
          <w:rFonts w:hint="eastAsia" w:ascii="Arial" w:hAnsi="Arial" w:eastAsia="等线" w:cs="Arial"/>
          <w:b/>
          <w:sz w:val="28"/>
          <w:lang w:val="en-US" w:eastAsia="zh-CN"/>
        </w:rPr>
        <w:t>4.</w:t>
      </w:r>
      <w:r>
        <w:rPr>
          <w:rFonts w:hint="eastAsia" w:ascii="Arial" w:hAnsi="Arial" w:eastAsia="等线" w:cs="Arial"/>
          <w:b/>
          <w:sz w:val="28"/>
        </w:rPr>
        <w:t>抗污染目的性抽样：</w:t>
      </w:r>
    </w:p>
    <w:p w14:paraId="0FE74416">
      <w:pPr>
        <w:spacing w:before="120" w:after="120" w:line="288" w:lineRule="auto"/>
        <w:ind w:left="0"/>
        <w:jc w:val="left"/>
        <w:rPr>
          <w:rFonts w:hint="eastAsia" w:ascii="Arial" w:hAnsi="Arial" w:eastAsia="等线" w:cs="Arial"/>
          <w:sz w:val="22"/>
        </w:rPr>
      </w:pPr>
      <w:r>
        <w:rPr>
          <w:rFonts w:hint="eastAsia" w:ascii="Arial" w:hAnsi="Arial" w:eastAsia="等线" w:cs="Arial"/>
          <w:sz w:val="22"/>
        </w:rPr>
        <w:t>为控制预训练污染，样本限定为模型知识截止日之后发表、且未被主要知识平台（公众号、知乎等）广泛转载的论文。对每篇候选论文执行封闭式探测：不给原文，询问模型该论文的核心结论；若模型能复述结论，标记为污染并排除。</w:t>
      </w:r>
    </w:p>
    <w:p w14:paraId="51A84065">
      <w:pPr>
        <w:spacing w:before="260" w:after="120" w:line="288" w:lineRule="auto"/>
        <w:ind w:left="0"/>
        <w:jc w:val="left"/>
        <w:outlineLvl w:val="3"/>
        <w:rPr>
          <w:rFonts w:hint="eastAsia" w:ascii="Arial" w:hAnsi="Arial" w:eastAsia="等线" w:cs="Arial"/>
          <w:b/>
          <w:sz w:val="28"/>
          <w:lang w:val="en-US" w:eastAsia="zh-CN"/>
        </w:rPr>
      </w:pPr>
      <w:r>
        <w:rPr>
          <w:rFonts w:hint="eastAsia" w:ascii="Arial" w:hAnsi="Arial" w:eastAsia="等线" w:cs="Arial"/>
          <w:b/>
          <w:sz w:val="28"/>
          <w:lang w:val="en-US" w:eastAsia="zh-CN"/>
        </w:rPr>
        <w:t>5.本地Agent使用说明</w:t>
      </w:r>
    </w:p>
    <w:p w14:paraId="28066727">
      <w:pPr>
        <w:numPr>
          <w:ilvl w:val="0"/>
          <w:numId w:val="0"/>
        </w:numPr>
        <w:spacing w:before="120" w:after="120" w:line="288" w:lineRule="auto"/>
        <w:jc w:val="left"/>
        <w:rPr>
          <w:rFonts w:hint="eastAsia" w:ascii="Arial" w:hAnsi="Arial" w:eastAsia="等线" w:cs="Arial"/>
          <w:sz w:val="22"/>
        </w:rPr>
      </w:pPr>
      <w:r>
        <w:rPr>
          <w:rFonts w:hint="eastAsia" w:ascii="Arial" w:hAnsi="Arial" w:eastAsia="等线" w:cs="Arial"/>
          <w:sz w:val="22"/>
        </w:rPr>
        <w:t>由于单篇论文M池规模超出单次上下文窗口，模型侧实验采用分层agent处理：按标题层级逐层调用模型，每层独立session，无历史对话。处理顺序固定，所有运行使用相同分层规则。预实验对比分层处理与单次全量输入的输出差异。</w:t>
      </w:r>
    </w:p>
    <w:p w14:paraId="59E72AB3">
      <w:pPr>
        <w:spacing w:before="300" w:after="120" w:line="288" w:lineRule="auto"/>
        <w:ind w:left="0"/>
        <w:jc w:val="left"/>
        <w:outlineLvl w:val="2"/>
      </w:pPr>
      <w:bookmarkStart w:id="19" w:name="heading_19"/>
      <w:r>
        <w:rPr>
          <w:rFonts w:ascii="Arial" w:hAnsi="Arial" w:eastAsia="等线" w:cs="Arial"/>
          <w:b/>
          <w:sz w:val="30"/>
        </w:rPr>
        <w:t>第四步：</w:t>
      </w:r>
      <w:r>
        <w:rPr>
          <w:rFonts w:hint="eastAsia" w:ascii="Arial" w:hAnsi="Arial" w:eastAsia="等线" w:cs="Arial"/>
          <w:b/>
          <w:sz w:val="30"/>
        </w:rPr>
        <w:t>结构化解析与</w:t>
      </w:r>
      <w:r>
        <w:rPr>
          <w:rFonts w:ascii="Arial" w:hAnsi="Arial" w:eastAsia="等线" w:cs="Arial"/>
          <w:b/>
          <w:sz w:val="30"/>
        </w:rPr>
        <w:t>原子命题化处理</w:t>
      </w:r>
      <w:bookmarkEnd w:id="19"/>
    </w:p>
    <w:p w14:paraId="6F1F74A0">
      <w:pPr>
        <w:spacing w:before="120" w:after="120" w:line="288" w:lineRule="auto"/>
        <w:ind w:left="0"/>
        <w:jc w:val="left"/>
      </w:pPr>
      <w:r>
        <w:rPr>
          <w:rFonts w:ascii="Arial" w:hAnsi="Arial" w:eastAsia="等线" w:cs="Arial"/>
          <w:sz w:val="22"/>
        </w:rPr>
        <w:t>所有模型轮次输出，由盲态（未知实验条件）LLM统一执行标准化原子命题拆分，采用固定提示词与统一规则，保证拆分一致性。</w:t>
      </w:r>
    </w:p>
    <w:p w14:paraId="4989E24B">
      <w:pPr>
        <w:spacing w:before="260" w:after="120" w:line="288" w:lineRule="auto"/>
        <w:ind w:left="0"/>
        <w:jc w:val="left"/>
        <w:outlineLvl w:val="3"/>
      </w:pPr>
      <w:bookmarkStart w:id="20" w:name="heading_20"/>
      <w:r>
        <w:rPr>
          <w:rFonts w:ascii="Arial" w:hAnsi="Arial" w:eastAsia="等线" w:cs="Arial"/>
          <w:b/>
          <w:sz w:val="28"/>
        </w:rPr>
        <w:t>1. 核心规则定义</w:t>
      </w:r>
      <w:bookmarkEnd w:id="20"/>
    </w:p>
    <w:p w14:paraId="0D59534B">
      <w:pPr>
        <w:numPr>
          <w:ilvl w:val="0"/>
          <w:numId w:val="10"/>
        </w:numPr>
        <w:spacing w:before="120" w:after="120" w:line="288" w:lineRule="auto"/>
        <w:ind w:left="0"/>
        <w:jc w:val="left"/>
      </w:pPr>
      <w:r>
        <w:rPr>
          <w:rFonts w:ascii="Arial" w:hAnsi="Arial" w:eastAsia="等线" w:cs="Arial"/>
          <w:sz w:val="22"/>
        </w:rPr>
        <w:t>原子命题定义：可独立判断真假的最小语义陈述单元</w:t>
      </w:r>
    </w:p>
    <w:p w14:paraId="71CAE36A">
      <w:pPr>
        <w:numPr>
          <w:ilvl w:val="0"/>
          <w:numId w:val="11"/>
        </w:numPr>
        <w:spacing w:before="120" w:after="120" w:line="288" w:lineRule="auto"/>
        <w:ind w:left="0"/>
        <w:jc w:val="left"/>
      </w:pPr>
      <w:r>
        <w:rPr>
          <w:rFonts w:ascii="Arial" w:hAnsi="Arial" w:eastAsia="等线" w:cs="Arial"/>
          <w:sz w:val="22"/>
        </w:rPr>
        <w:t>强制保留维度：命题肯否属性、数量限定、模态语气、因果方向、时空范围，不得删减核心限定信息</w:t>
      </w:r>
    </w:p>
    <w:p w14:paraId="17A9E064">
      <w:pPr>
        <w:numPr>
          <w:ilvl w:val="0"/>
          <w:numId w:val="12"/>
        </w:numPr>
        <w:spacing w:before="120" w:after="120" w:line="288" w:lineRule="auto"/>
        <w:ind w:left="0"/>
        <w:jc w:val="left"/>
      </w:pPr>
      <w:r>
        <w:rPr>
          <w:rFonts w:ascii="Arial" w:hAnsi="Arial" w:eastAsia="等线" w:cs="Arial"/>
          <w:sz w:val="22"/>
        </w:rPr>
        <w:t>禁止操作：不得补充原文不存在的信息、不得合并独立语义判断、不得更改原始认知强度与判断倾向</w:t>
      </w:r>
    </w:p>
    <w:p w14:paraId="10EE39D2">
      <w:pPr>
        <w:numPr>
          <w:ilvl w:val="0"/>
          <w:numId w:val="13"/>
        </w:numPr>
        <w:spacing w:before="120" w:after="120" w:line="288" w:lineRule="auto"/>
        <w:ind w:left="0"/>
        <w:jc w:val="left"/>
      </w:pPr>
      <w:r>
        <w:rPr>
          <w:rFonts w:ascii="Arial" w:hAnsi="Arial" w:eastAsia="等线" w:cs="Arial"/>
          <w:sz w:val="22"/>
        </w:rPr>
        <w:t>输出格式：标准化结构化JSON</w:t>
      </w:r>
    </w:p>
    <w:p w14:paraId="7D8821EA">
      <w:pPr>
        <w:numPr>
          <w:ilvl w:val="0"/>
          <w:numId w:val="13"/>
        </w:numPr>
        <w:spacing w:before="120" w:after="120" w:line="288" w:lineRule="auto"/>
        <w:ind w:left="0"/>
        <w:jc w:val="left"/>
        <w:rPr>
          <w:rFonts w:ascii="Arial" w:hAnsi="Arial" w:eastAsia="等线" w:cs="Arial"/>
          <w:sz w:val="22"/>
        </w:rPr>
      </w:pPr>
      <w:r>
        <w:rPr>
          <w:rFonts w:hint="eastAsia" w:ascii="Arial" w:hAnsi="Arial" w:eastAsia="等线" w:cs="Arial"/>
          <w:sz w:val="22"/>
        </w:rPr>
        <w:t>编码对象为模型输出的自然语言论证文本。编码LLM盲于实验条件，不知晓运行编号与条件标签。</w:t>
      </w:r>
    </w:p>
    <w:p w14:paraId="260EE4F5">
      <w:pPr>
        <w:spacing w:before="260" w:after="120" w:line="288" w:lineRule="auto"/>
        <w:ind w:left="0"/>
        <w:jc w:val="left"/>
        <w:outlineLvl w:val="3"/>
      </w:pPr>
      <w:bookmarkStart w:id="21" w:name="heading_21"/>
      <w:r>
        <w:rPr>
          <w:rFonts w:ascii="Arial" w:hAnsi="Arial" w:eastAsia="等线" w:cs="Arial"/>
          <w:b/>
          <w:sz w:val="28"/>
        </w:rPr>
        <w:t>2. 拆分示例</w:t>
      </w:r>
      <w:bookmarkEnd w:id="21"/>
    </w:p>
    <w:p w14:paraId="259E0A1F">
      <w:pPr>
        <w:spacing w:before="120" w:after="120" w:line="288" w:lineRule="auto"/>
        <w:ind w:left="0"/>
        <w:jc w:val="left"/>
      </w:pPr>
      <w:r>
        <w:rPr>
          <w:rFonts w:ascii="Arial" w:hAnsi="Arial" w:eastAsia="等线" w:cs="Arial"/>
          <w:sz w:val="22"/>
        </w:rPr>
        <w:t>输入文本：“工业革命期间，实际工资可能没有随经济增长而提高，因为物价上涨抵消了名义工资的增长。”</w:t>
      </w:r>
    </w:p>
    <w:p w14:paraId="5ED409DE">
      <w:pPr>
        <w:spacing w:before="120" w:after="120" w:line="288" w:lineRule="auto"/>
        <w:ind w:left="0"/>
        <w:jc w:val="left"/>
      </w:pPr>
      <w:r>
        <w:rPr>
          <w:rFonts w:ascii="Arial" w:hAnsi="Arial" w:eastAsia="等线" w:cs="Arial"/>
          <w:sz w:val="22"/>
        </w:rPr>
        <w:t>输出原子命题：</w:t>
      </w:r>
    </w:p>
    <w:p w14:paraId="64D8C156">
      <w:pPr>
        <w:numPr>
          <w:ilvl w:val="0"/>
          <w:numId w:val="14"/>
        </w:numPr>
        <w:spacing w:before="120" w:after="120" w:line="288" w:lineRule="auto"/>
        <w:ind w:left="0"/>
        <w:jc w:val="left"/>
      </w:pPr>
      <w:r>
        <w:rPr>
          <w:rFonts w:ascii="Arial" w:hAnsi="Arial" w:eastAsia="等线" w:cs="Arial"/>
          <w:sz w:val="22"/>
        </w:rPr>
        <w:t>命题1：工业革命期间，名义工资增长。</w:t>
      </w:r>
    </w:p>
    <w:p w14:paraId="570BD640">
      <w:pPr>
        <w:numPr>
          <w:ilvl w:val="0"/>
          <w:numId w:val="15"/>
        </w:numPr>
        <w:spacing w:before="120" w:after="120" w:line="288" w:lineRule="auto"/>
        <w:ind w:left="0"/>
        <w:jc w:val="left"/>
      </w:pPr>
      <w:r>
        <w:rPr>
          <w:rFonts w:ascii="Arial" w:hAnsi="Arial" w:eastAsia="等线" w:cs="Arial"/>
          <w:sz w:val="22"/>
        </w:rPr>
        <w:t>命题2：工业革命期间，物价上涨。</w:t>
      </w:r>
    </w:p>
    <w:p w14:paraId="67417A21">
      <w:pPr>
        <w:numPr>
          <w:ilvl w:val="0"/>
          <w:numId w:val="16"/>
        </w:numPr>
        <w:spacing w:before="120" w:after="120" w:line="288" w:lineRule="auto"/>
        <w:ind w:left="0"/>
        <w:jc w:val="left"/>
      </w:pPr>
      <w:r>
        <w:rPr>
          <w:rFonts w:ascii="Arial" w:hAnsi="Arial" w:eastAsia="等线" w:cs="Arial"/>
          <w:sz w:val="22"/>
        </w:rPr>
        <w:t>命题3：物价上涨抵消了名义工资增长。</w:t>
      </w:r>
    </w:p>
    <w:p w14:paraId="799FDBF6">
      <w:pPr>
        <w:numPr>
          <w:ilvl w:val="0"/>
          <w:numId w:val="17"/>
        </w:numPr>
        <w:spacing w:before="120" w:after="120" w:line="288" w:lineRule="auto"/>
        <w:ind w:left="0"/>
        <w:jc w:val="left"/>
      </w:pPr>
      <w:r>
        <w:rPr>
          <w:rFonts w:ascii="Arial" w:hAnsi="Arial" w:eastAsia="等线" w:cs="Arial"/>
          <w:sz w:val="22"/>
        </w:rPr>
        <w:t>命题4：工业革命期间，实际工资可能没有随经济增长而提高。</w:t>
      </w:r>
    </w:p>
    <w:p w14:paraId="41D7CF80">
      <w:pPr>
        <w:spacing w:before="260" w:after="120" w:line="288" w:lineRule="auto"/>
        <w:ind w:left="0"/>
        <w:jc w:val="left"/>
        <w:outlineLvl w:val="3"/>
      </w:pPr>
      <w:bookmarkStart w:id="22" w:name="heading_22"/>
      <w:r>
        <w:rPr>
          <w:rFonts w:ascii="Arial" w:hAnsi="Arial" w:eastAsia="等线" w:cs="Arial"/>
          <w:b/>
          <w:sz w:val="28"/>
        </w:rPr>
        <w:t>3. 质量核验</w:t>
      </w:r>
      <w:bookmarkEnd w:id="22"/>
    </w:p>
    <w:p w14:paraId="6E8C2BF0">
      <w:pPr>
        <w:spacing w:before="120" w:after="120" w:line="288" w:lineRule="auto"/>
        <w:ind w:left="0"/>
        <w:jc w:val="left"/>
      </w:pPr>
      <w:r>
        <w:rPr>
          <w:rFonts w:ascii="Arial" w:hAnsi="Arial" w:eastAsia="等线" w:cs="Arial"/>
          <w:sz w:val="22"/>
        </w:rPr>
        <w:t>随机抽取20–30个母节点命题，对照原始模型输出，核查文本遗漏、冗余添加、限定丢失、因果方向错误等问题，统计整体错误率，保证命题拆分质量可控。</w:t>
      </w:r>
    </w:p>
    <w:p w14:paraId="6ED310EC">
      <w:pPr>
        <w:spacing w:before="300" w:after="120" w:line="288" w:lineRule="auto"/>
        <w:ind w:left="0"/>
        <w:jc w:val="left"/>
        <w:outlineLvl w:val="2"/>
      </w:pPr>
      <w:bookmarkStart w:id="23" w:name="heading_23"/>
      <w:r>
        <w:rPr>
          <w:rFonts w:ascii="Arial" w:hAnsi="Arial" w:eastAsia="等线" w:cs="Arial"/>
          <w:b/>
          <w:sz w:val="30"/>
        </w:rPr>
        <w:t>第五步：语义等义判定</w:t>
      </w:r>
      <w:bookmarkEnd w:id="23"/>
    </w:p>
    <w:p w14:paraId="12896B64">
      <w:pPr>
        <w:spacing w:before="260" w:after="120" w:line="288" w:lineRule="auto"/>
        <w:ind w:left="0"/>
        <w:jc w:val="left"/>
        <w:outlineLvl w:val="3"/>
      </w:pPr>
      <w:bookmarkStart w:id="24" w:name="heading_24"/>
      <w:r>
        <w:rPr>
          <w:rFonts w:ascii="Arial" w:hAnsi="Arial" w:eastAsia="等线" w:cs="Arial"/>
          <w:b/>
          <w:sz w:val="28"/>
        </w:rPr>
        <w:t>1. 候选命题召回</w:t>
      </w:r>
      <w:bookmarkEnd w:id="24"/>
    </w:p>
    <w:p w14:paraId="396A042B">
      <w:pPr>
        <w:spacing w:before="120" w:after="120" w:line="288" w:lineRule="auto"/>
        <w:ind w:left="0"/>
        <w:jc w:val="left"/>
      </w:pPr>
      <w:r>
        <w:rPr>
          <w:rFonts w:ascii="Noto Sans" w:hAnsi="Noto Sans" w:eastAsia="Noto Sans" w:cs="Noto Sans"/>
          <w:i w:val="0"/>
          <w:iCs w:val="0"/>
          <w:caps w:val="0"/>
          <w:spacing w:val="0"/>
          <w:sz w:val="24"/>
          <w:szCs w:val="24"/>
          <w:shd w:val="clear" w:fill="FFFFFF"/>
          <w:woUserID w:val="1"/>
        </w:rPr>
        <w:t>结合语句原文位置匹配、句向量余弦相似度双重维度召回潜在等价命题对。句向量余弦相似度设定召回阈值 τ_recall（初始值 0.60，在开发集上标定），仅相似度高于阈值或位置匹配命中的命题对进入后续判定。本环节仅完成候选筛选，不判定等义关系，保留全部疑似样本。</w:t>
      </w:r>
    </w:p>
    <w:p w14:paraId="1D8257BA">
      <w:pPr>
        <w:spacing w:before="260" w:after="120" w:line="288" w:lineRule="auto"/>
        <w:ind w:left="0"/>
        <w:jc w:val="left"/>
        <w:outlineLvl w:val="3"/>
      </w:pPr>
      <w:bookmarkStart w:id="25" w:name="heading_25"/>
      <w:r>
        <w:rPr>
          <w:rFonts w:ascii="Arial" w:hAnsi="Arial" w:eastAsia="等线" w:cs="Arial"/>
          <w:b/>
          <w:sz w:val="28"/>
        </w:rPr>
        <w:t xml:space="preserve">2. </w:t>
      </w:r>
      <w:bookmarkEnd w:id="25"/>
      <w:r>
        <w:rPr>
          <w:rFonts w:hint="eastAsia" w:ascii="Arial" w:hAnsi="Arial" w:eastAsia="等线" w:cs="Arial"/>
          <w:b/>
          <w:sz w:val="28"/>
          <w:woUserID w:val="1"/>
        </w:rPr>
        <w:t xml:space="preserve"> NLI 双向置信度计算</w:t>
      </w:r>
    </w:p>
    <w:p w14:paraId="38EAA6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jc w:val="left"/>
        <w:textAlignment w:val="baseline"/>
        <w:rPr>
          <w:sz w:val="24"/>
          <w:szCs w:val="24"/>
          <w:woUserID w:val="1"/>
        </w:rPr>
      </w:pPr>
      <w:r>
        <w:rPr>
          <w:rFonts w:hint="eastAsia" w:ascii="Arial" w:hAnsi="Arial" w:eastAsia="等线" w:cs="Arial"/>
          <w:sz w:val="22"/>
          <w:lang w:eastAsia="zh"/>
          <w:woUserID w:val="1"/>
        </w:rPr>
        <w:t>N</w:t>
      </w:r>
      <w:r>
        <w:rPr>
          <w:rFonts w:hint="default" w:ascii="Noto Sans" w:hAnsi="Noto Sans" w:eastAsia="Noto Sans" w:cs="Noto Sans"/>
          <w:i w:val="0"/>
          <w:iCs w:val="0"/>
          <w:caps w:val="0"/>
          <w:spacing w:val="0"/>
          <w:kern w:val="0"/>
          <w:sz w:val="24"/>
          <w:szCs w:val="24"/>
          <w:bdr w:val="none" w:color="auto" w:sz="0" w:space="0"/>
          <w:shd w:val="clear" w:fill="FFFFFF"/>
          <w:vertAlign w:val="baseline"/>
          <w:lang w:val="en-US" w:eastAsia="zh-CN" w:bidi="ar"/>
          <w:woUserID w:val="1"/>
        </w:rPr>
        <w:t>每一候选命题对 (pᵢ, pⱼ)，在隐去实验运行信息、实验条件标签的盲态下，由 NLI 推理模型分别计算两个方向的蕴含概率：</w:t>
      </w:r>
    </w:p>
    <w:p w14:paraId="5CE451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jc w:val="left"/>
        <w:textAlignment w:val="baseline"/>
        <w:rPr>
          <w:rFonts w:hint="default" w:ascii="Noto Sans" w:hAnsi="Noto Sans" w:eastAsia="Noto Sans" w:cs="Noto Sans"/>
          <w:i w:val="0"/>
          <w:iCs w:val="0"/>
          <w:caps w:val="0"/>
          <w:spacing w:val="0"/>
          <w:kern w:val="0"/>
          <w:sz w:val="24"/>
          <w:szCs w:val="24"/>
          <w:bdr w:val="none" w:color="auto" w:sz="0" w:space="0"/>
          <w:shd w:val="clear" w:fill="FFFFFF"/>
          <w:vertAlign w:val="baseline"/>
          <w:lang w:val="en-US" w:eastAsia="zh-CN" w:bidi="ar"/>
          <w:woUserID w:val="1"/>
        </w:rPr>
      </w:pPr>
      <w:r>
        <w:rPr>
          <w:rFonts w:hint="default" w:ascii="Noto Sans" w:hAnsi="Noto Sans" w:eastAsia="Noto Sans" w:cs="Noto Sans"/>
          <w:i w:val="0"/>
          <w:iCs w:val="0"/>
          <w:caps w:val="0"/>
          <w:spacing w:val="0"/>
          <w:kern w:val="0"/>
          <w:sz w:val="24"/>
          <w:szCs w:val="24"/>
          <w:bdr w:val="none" w:color="auto" w:sz="0" w:space="0"/>
          <w:shd w:val="clear" w:fill="FFFFFF"/>
          <w:vertAlign w:val="baseline"/>
          <w:lang w:val="en-US" w:eastAsia="zh-CN" w:bidi="ar"/>
          <w:woUserID w:val="1"/>
        </w:rPr>
        <w:t>conf(pᵢ→pⱼ)：以 pᵢ 为前提、pⱼ 为假设的蕴含概率</w:t>
      </w:r>
    </w:p>
    <w:p w14:paraId="601494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jc w:val="left"/>
        <w:textAlignment w:val="baseline"/>
        <w:rPr>
          <w:sz w:val="24"/>
          <w:szCs w:val="24"/>
          <w:woUserID w:val="1"/>
        </w:rPr>
      </w:pPr>
      <w:r>
        <w:rPr>
          <w:rFonts w:hint="default" w:ascii="Noto Sans" w:hAnsi="Noto Sans" w:eastAsia="Noto Sans" w:cs="Noto Sans"/>
          <w:i w:val="0"/>
          <w:iCs w:val="0"/>
          <w:caps w:val="0"/>
          <w:spacing w:val="0"/>
          <w:kern w:val="0"/>
          <w:sz w:val="24"/>
          <w:szCs w:val="24"/>
          <w:bdr w:val="none" w:color="auto" w:sz="0" w:space="0"/>
          <w:shd w:val="clear" w:fill="FFFFFF"/>
          <w:vertAlign w:val="baseline"/>
          <w:lang w:val="en-US" w:eastAsia="zh-CN" w:bidi="ar"/>
          <w:woUserID w:val="1"/>
        </w:rPr>
        <w:t>conf(pⱼ→pᵢ)：交换前提与假设后的蕴含概率</w:t>
      </w:r>
    </w:p>
    <w:p w14:paraId="3322A2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jc w:val="left"/>
        <w:textAlignment w:val="baseline"/>
        <w:rPr>
          <w:rFonts w:hint="default" w:ascii="Noto Sans" w:hAnsi="Noto Sans" w:eastAsia="Noto Sans" w:cs="Noto Sans"/>
          <w:i w:val="0"/>
          <w:iCs w:val="0"/>
          <w:caps w:val="0"/>
          <w:spacing w:val="0"/>
          <w:sz w:val="24"/>
          <w:szCs w:val="24"/>
          <w:woUserID w:val="1"/>
        </w:rPr>
      </w:pPr>
      <w:r>
        <w:rPr>
          <w:rFonts w:hint="default" w:ascii="Noto Sans" w:hAnsi="Noto Sans" w:eastAsia="Noto Sans" w:cs="Noto Sans"/>
          <w:i w:val="0"/>
          <w:iCs w:val="0"/>
          <w:caps w:val="0"/>
          <w:spacing w:val="0"/>
          <w:kern w:val="0"/>
          <w:sz w:val="24"/>
          <w:szCs w:val="24"/>
          <w:bdr w:val="none" w:color="auto" w:sz="0" w:space="0"/>
          <w:shd w:val="clear" w:fill="FFFFFF"/>
          <w:vertAlign w:val="baseline"/>
          <w:lang w:val="en-US" w:eastAsia="zh-CN" w:bidi="ar"/>
          <w:woUserID w:val="1"/>
        </w:rPr>
        <w:t>等义置信度取双向算术平均：</w:t>
      </w:r>
    </w:p>
    <w:p w14:paraId="59D5E7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jc w:val="left"/>
        <w:textAlignment w:val="baseline"/>
        <w:rPr>
          <w:rFonts w:hint="default" w:ascii="Noto Sans" w:hAnsi="Noto Sans" w:eastAsia="Noto Sans" w:cs="Noto Sans"/>
          <w:i w:val="0"/>
          <w:iCs w:val="0"/>
          <w:caps w:val="0"/>
          <w:spacing w:val="0"/>
          <w:kern w:val="0"/>
          <w:sz w:val="24"/>
          <w:szCs w:val="24"/>
          <w:shd w:val="clear" w:fill="FFFFFF"/>
          <w:vertAlign w:val="baseline"/>
          <w:lang w:val="en-US" w:eastAsia="zh-CN" w:bidi="ar"/>
          <w:woUserID w:val="1"/>
        </w:rPr>
      </w:pPr>
      <w:r>
        <w:rPr>
          <w:rFonts w:hint="default" w:ascii="Noto Sans" w:hAnsi="Noto Sans" w:eastAsia="Noto Sans" w:cs="Noto Sans"/>
          <w:i w:val="0"/>
          <w:iCs w:val="0"/>
          <w:caps w:val="0"/>
          <w:spacing w:val="0"/>
          <w:kern w:val="0"/>
          <w:sz w:val="24"/>
          <w:szCs w:val="24"/>
          <w:shd w:val="clear" w:fill="FFFFFF"/>
          <w:vertAlign w:val="baseline"/>
          <w:lang w:val="en-US" w:eastAsia="zh-CN" w:bidi="ar"/>
          <w:woUserID w:val="1"/>
        </w:rPr>
        <w:t>score(pᵢ, pⱼ) = [ conf(pᵢ→pⱼ) + conf(pⱼ→pᵢ) ] / 2。</w:t>
      </w:r>
    </w:p>
    <w:p w14:paraId="49B9C5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jc w:val="left"/>
        <w:textAlignment w:val="baseline"/>
        <w:rPr>
          <w:rFonts w:ascii="Noto Sans" w:hAnsi="Noto Sans" w:eastAsia="Noto Sans" w:cs="Noto Sans"/>
          <w:i w:val="0"/>
          <w:iCs w:val="0"/>
          <w:caps w:val="0"/>
          <w:spacing w:val="0"/>
          <w:sz w:val="24"/>
          <w:szCs w:val="24"/>
          <w:woUserID w:val="1"/>
        </w:rPr>
      </w:pPr>
      <w:r>
        <w:rPr>
          <w:rFonts w:hint="default" w:ascii="Noto Sans" w:hAnsi="Noto Sans" w:eastAsia="Noto Sans" w:cs="Noto Sans"/>
          <w:i w:val="0"/>
          <w:iCs w:val="0"/>
          <w:caps w:val="0"/>
          <w:spacing w:val="0"/>
          <w:kern w:val="0"/>
          <w:sz w:val="24"/>
          <w:szCs w:val="24"/>
          <w:bdr w:val="none" w:color="auto" w:sz="0" w:space="0"/>
          <w:shd w:val="clear" w:fill="FFFFFF"/>
          <w:vertAlign w:val="baseline"/>
          <w:lang w:val="en-US" w:eastAsia="zh-CN" w:bidi="ar"/>
          <w:woUserID w:val="1"/>
        </w:rPr>
        <w:t xml:space="preserve">两个方向的原始概率值作为辅助变量完整留存，供敏感性分析使用（备选融合方案：几何平均 </w:t>
      </w:r>
      <w:r>
        <w:rPr>
          <w:rFonts w:hint="default" w:ascii="Noto Sans" w:hAnsi="Noto Sans" w:eastAsia="Noto Sans" w:cs="Noto Sans"/>
          <w:i w:val="0"/>
          <w:iCs w:val="0"/>
          <w:caps w:val="0"/>
          <w:spacing w:val="0"/>
          <w:kern w:val="0"/>
          <w:sz w:val="24"/>
          <w:szCs w:val="24"/>
          <w:shd w:val="clear" w:fill="FFFFFF"/>
          <w:vertAlign w:val="baseline"/>
          <w:lang w:val="en-US" w:eastAsia="zh-CN" w:bidi="ar"/>
          <w:woUserID w:val="1"/>
        </w:rPr>
        <w:drawing>
          <wp:inline distT="0" distB="0" distL="114300" distR="114300">
            <wp:extent cx="142875" cy="247650"/>
            <wp:effectExtent l="0" t="0" r="9525" b="0"/>
            <wp:docPr id="1"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A-3" descr="latexmath"/>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42875" cy="247650"/>
                    </a:xfrm>
                    <a:prstGeom prst="rect">
                      <a:avLst/>
                    </a:prstGeom>
                  </pic:spPr>
                </pic:pic>
              </a:graphicData>
            </a:graphic>
          </wp:inline>
        </w:drawing>
      </w:r>
      <w:r>
        <w:rPr>
          <w:rFonts w:hint="default" w:ascii="Noto Sans" w:hAnsi="Noto Sans" w:eastAsia="Noto Sans" w:cs="Noto Sans"/>
          <w:i w:val="0"/>
          <w:iCs w:val="0"/>
          <w:caps w:val="0"/>
          <w:spacing w:val="0"/>
          <w:kern w:val="0"/>
          <w:sz w:val="24"/>
          <w:szCs w:val="24"/>
          <w:shd w:val="clear" w:fill="FFFFFF"/>
          <w:vertAlign w:val="baseline"/>
          <w:lang w:val="en-US" w:eastAsia="zh-CN" w:bidi="ar"/>
          <w:woUserID w:val="1"/>
        </w:rPr>
        <w:t xml:space="preserve">[ conf(pᵢ→pⱼ) + conf(pⱼ→pᵢ) ] </w:t>
      </w:r>
      <w:r>
        <w:rPr>
          <w:rFonts w:hint="default" w:ascii="Noto Sans" w:hAnsi="Noto Sans" w:eastAsia="Noto Sans" w:cs="Noto Sans"/>
          <w:i w:val="0"/>
          <w:iCs w:val="0"/>
          <w:caps w:val="0"/>
          <w:spacing w:val="0"/>
          <w:kern w:val="0"/>
          <w:sz w:val="24"/>
          <w:szCs w:val="24"/>
          <w:bdr w:val="none" w:color="auto" w:sz="0" w:space="0"/>
          <w:shd w:val="clear" w:fill="FFFFFF"/>
          <w:vertAlign w:val="baseline"/>
          <w:lang w:val="en-US" w:eastAsia="zh-CN" w:bidi="ar"/>
          <w:woUserID w:val="1"/>
        </w:rPr>
        <w:t>，在敏感性分析中对比两种融合方式下实验结论的方向一致性）。</w:t>
      </w:r>
    </w:p>
    <w:p w14:paraId="5B9293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jc w:val="left"/>
        <w:textAlignment w:val="baseline"/>
        <w:rPr>
          <w:rFonts w:hint="default" w:ascii="Noto Sans" w:hAnsi="Noto Sans" w:eastAsia="Noto Sans" w:cs="Noto Sans"/>
          <w:i w:val="0"/>
          <w:iCs w:val="0"/>
          <w:caps w:val="0"/>
          <w:spacing w:val="0"/>
          <w:kern w:val="0"/>
          <w:sz w:val="24"/>
          <w:szCs w:val="24"/>
          <w:shd w:val="clear" w:fill="FFFFFF"/>
          <w:vertAlign w:val="baseline"/>
          <w:lang w:val="en-US" w:eastAsia="zh-CN" w:bidi="ar"/>
          <w:woUserID w:val="1"/>
        </w:rPr>
      </w:pPr>
      <w:r>
        <w:rPr>
          <w:rFonts w:hint="default" w:ascii="Noto Sans" w:hAnsi="Noto Sans" w:eastAsia="Noto Sans" w:cs="Noto Sans"/>
          <w:i w:val="0"/>
          <w:iCs w:val="0"/>
          <w:caps w:val="0"/>
          <w:spacing w:val="0"/>
          <w:kern w:val="0"/>
          <w:sz w:val="24"/>
          <w:szCs w:val="24"/>
          <w:bdr w:val="none" w:color="auto" w:sz="0" w:space="0"/>
          <w:shd w:val="clear" w:fill="FFFFFF"/>
          <w:vertAlign w:val="baseline"/>
          <w:lang w:val="en-US" w:eastAsia="zh-CN" w:bidi="ar"/>
          <w:woUserID w:val="1"/>
        </w:rPr>
        <w:t>置信度校准：使用开发集标注数据对 NLI 输出做温度缩放（temperature scaling）校准，校准参数在冻结测试集上固定不动。</w:t>
      </w:r>
      <w:bookmarkStart w:id="46" w:name="_GoBack"/>
      <w:bookmarkEnd w:id="46"/>
    </w:p>
    <w:p w14:paraId="13E72E13">
      <w:pPr>
        <w:spacing w:before="260" w:after="120" w:line="288" w:lineRule="auto"/>
        <w:ind w:left="0"/>
        <w:jc w:val="left"/>
        <w:outlineLvl w:val="3"/>
      </w:pPr>
      <w:bookmarkStart w:id="26" w:name="heading_27"/>
      <w:r>
        <w:rPr>
          <w:rFonts w:hint="eastAsia" w:ascii="Arial" w:hAnsi="Arial" w:eastAsia="等线" w:cs="Arial"/>
          <w:b/>
          <w:sz w:val="28"/>
          <w:lang w:eastAsia="zh"/>
          <w:woUserID w:val="1"/>
        </w:rPr>
        <w:t>3</w:t>
      </w:r>
      <w:r>
        <w:rPr>
          <w:rFonts w:ascii="Arial" w:hAnsi="Arial" w:eastAsia="等线" w:cs="Arial"/>
          <w:b/>
          <w:sz w:val="28"/>
        </w:rPr>
        <w:t>. 数据留存规范</w:t>
      </w:r>
      <w:bookmarkEnd w:id="26"/>
    </w:p>
    <w:p w14:paraId="20A1B785">
      <w:pPr>
        <w:spacing w:before="120" w:after="120" w:line="288" w:lineRule="auto"/>
        <w:ind w:left="0"/>
        <w:jc w:val="left"/>
      </w:pPr>
      <w:r>
        <w:rPr>
          <w:rFonts w:ascii="Arial" w:hAnsi="Arial" w:eastAsia="等线" w:cs="Arial"/>
          <w:sz w:val="22"/>
        </w:rPr>
        <w:t>完整留存原始文本表述、拆分后的原子命题、判定全过程记录、语义类别ID的一一对应关系；同一轮实验中归属同一类别的重复命题，仅计数一次，杜绝数据重复统计偏差。</w:t>
      </w:r>
    </w:p>
    <w:p w14:paraId="575190B0">
      <w:pPr>
        <w:spacing w:before="300" w:after="120" w:line="288" w:lineRule="auto"/>
        <w:ind w:left="0"/>
        <w:jc w:val="left"/>
        <w:outlineLvl w:val="2"/>
      </w:pPr>
      <w:bookmarkStart w:id="27" w:name="heading_28"/>
      <w:r>
        <w:rPr>
          <w:rFonts w:ascii="Arial" w:hAnsi="Arial" w:eastAsia="等线" w:cs="Arial"/>
          <w:b/>
          <w:sz w:val="30"/>
        </w:rPr>
        <w:t>第六步：收敛度指标计算</w:t>
      </w:r>
      <w:bookmarkEnd w:id="27"/>
    </w:p>
    <w:p w14:paraId="31F83D11">
      <w:pPr>
        <w:spacing w:before="260" w:after="120" w:line="288" w:lineRule="auto"/>
        <w:ind w:left="0"/>
        <w:jc w:val="left"/>
        <w:outlineLvl w:val="3"/>
      </w:pPr>
      <w:bookmarkStart w:id="28" w:name="heading_29"/>
      <w:r>
        <w:rPr>
          <w:rFonts w:ascii="Arial" w:hAnsi="Arial" w:eastAsia="等线" w:cs="Arial"/>
          <w:b/>
          <w:sz w:val="28"/>
        </w:rPr>
        <w:t>1. 节点收敛度（ACI）</w:t>
      </w:r>
      <w:bookmarkEnd w:id="28"/>
    </w:p>
    <w:p w14:paraId="6644A39E">
      <w:pPr>
        <w:spacing w:before="120" w:after="120" w:line="288" w:lineRule="auto"/>
        <w:ind w:left="0"/>
        <w:jc w:val="left"/>
      </w:pPr>
      <w:r>
        <w:rPr>
          <w:rFonts w:ascii="Arial" w:hAnsi="Arial" w:eastAsia="等线" w:cs="Arial"/>
          <w:sz w:val="22"/>
        </w:rPr>
        <w:t>指标含义：</w:t>
      </w:r>
      <w:r>
        <w:rPr>
          <w:rFonts w:hint="eastAsia" w:ascii="Arial" w:hAnsi="Arial" w:eastAsia="等线" w:cs="Arial"/>
          <w:sz w:val="22"/>
          <w:lang w:val="en-US" w:eastAsia="zh-CN"/>
        </w:rPr>
        <w:t>1.</w:t>
      </w:r>
      <w:r>
        <w:rPr>
          <w:rFonts w:ascii="Arial" w:hAnsi="Arial" w:eastAsia="等线" w:cs="Arial"/>
          <w:sz w:val="22"/>
        </w:rPr>
        <w:t>衡量同一实验条件下，多轮独立运行输出命题集合的一致性</w:t>
      </w:r>
      <w:r>
        <w:rPr>
          <w:rFonts w:hint="eastAsia" w:ascii="Arial" w:hAnsi="Arial" w:eastAsia="等线" w:cs="Arial"/>
          <w:sz w:val="22"/>
          <w:lang w:eastAsia="zh-CN"/>
        </w:rPr>
        <w:t>，</w:t>
      </w:r>
      <w:r>
        <w:rPr>
          <w:rFonts w:hint="eastAsia" w:ascii="Arial" w:hAnsi="Arial" w:eastAsia="等线" w:cs="Arial"/>
          <w:sz w:val="22"/>
          <w:lang w:val="en-US" w:eastAsia="zh-CN"/>
        </w:rPr>
        <w:t>并衡量与人类基准(视作C</w:t>
      </w:r>
      <w:r>
        <w:rPr>
          <w:rFonts w:hint="eastAsia" w:ascii="Arial" w:hAnsi="Arial" w:eastAsia="等线" w:cs="Arial"/>
          <w:sz w:val="22"/>
          <w:vertAlign w:val="subscript"/>
          <w:lang w:val="en-US" w:eastAsia="zh-CN"/>
        </w:rPr>
        <w:t>1</w:t>
      </w:r>
      <w:r>
        <w:rPr>
          <w:rFonts w:hint="eastAsia" w:ascii="Arial" w:hAnsi="Arial" w:eastAsia="等线" w:cs="Arial"/>
          <w:sz w:val="22"/>
          <w:lang w:val="en-US" w:eastAsia="zh-CN"/>
        </w:rPr>
        <w:t>)的差距，即将二者的存在差异但一致的自然语言归一化</w:t>
      </w:r>
      <w:r>
        <w:rPr>
          <w:rFonts w:ascii="Arial" w:hAnsi="Arial" w:eastAsia="等线" w:cs="Arial"/>
          <w:sz w:val="22"/>
        </w:rPr>
        <w:t>，取值范围[0,1]，数值越低代表收敛度越高，0为完全收敛（多轮命题集合完全一致），1为完全不收敛（任意两轮无共同命题）。</w:t>
      </w:r>
    </w:p>
    <w:p w14:paraId="1A3A26F0">
      <w:pPr>
        <w:spacing w:before="120" w:after="120" w:line="288" w:lineRule="auto"/>
        <w:ind w:left="0"/>
        <w:jc w:val="left"/>
      </w:pPr>
      <w:r>
        <w:rPr>
          <w:rFonts w:ascii="Arial" w:hAnsi="Arial" w:eastAsia="等线" w:cs="Arial"/>
          <w:sz w:val="22"/>
        </w:rPr>
        <w:t>计算公式：</w:t>
      </w:r>
      <m:oMath>
        <m:r>
          <m:rPr/>
          <w:rPr>
            <w:rFonts w:ascii="Cambria Math" w:hAnsi="Cambria Math"/>
          </w:rPr>
          <m:t>AC</m:t>
        </m:r>
        <m:r>
          <m:rPr/>
          <w:rPr>
            <w:rFonts w:hint="default" w:ascii="Cambria Math" w:hAnsi="Cambria Math"/>
            <w:lang w:val="en-US" w:eastAsia="zh-CN"/>
          </w:rPr>
          <m:t>I</m:t>
        </m:r>
        <m:r>
          <m:rPr/>
          <w:rPr>
            <w:rFonts w:ascii="Cambria Math" w:hAnsi="Cambria Math"/>
          </w:rPr>
          <m:t>=</m:t>
        </m:r>
        <m:f>
          <m:fPr/>
          <m:num>
            <m:r>
              <m:rPr/>
              <w:rPr>
                <w:rFonts w:ascii="Cambria Math" w:hAnsi="Cambria Math"/>
              </w:rPr>
              <m:t>2</m:t>
            </m:r>
          </m:num>
          <m:den>
            <m:r>
              <m:rPr/>
              <w:rPr>
                <w:rFonts w:ascii="Cambria Math" w:hAnsi="Cambria Math"/>
              </w:rPr>
              <m:t>n(n−1)</m:t>
            </m:r>
          </m:den>
        </m:f>
        <m:nary>
          <m:naryPr>
            <m:chr m:val="∑"/>
            <m:grow m:val="1"/>
            <m:limLoc m:val="undOvr"/>
            <m:supHide m:val="1"/>
          </m:naryPr>
          <m:sub>
            <m:r>
              <m:rPr/>
              <w:rPr>
                <w:rFonts w:ascii="Cambria Math" w:hAnsi="Cambria Math"/>
              </w:rPr>
              <m:t>i&lt;j</m:t>
            </m:r>
          </m:sub>
          <m:sup/>
          <m:e>
            <m:r>
              <m:rPr/>
              <w:rPr>
                <w:rFonts w:ascii="Cambria Math" w:hAnsi="Cambria Math"/>
              </w:rPr>
              <m:t>(1−</m:t>
            </m:r>
            <m:f>
              <m:fPr/>
              <m:num>
                <m:r>
                  <m:rPr/>
                  <w:rPr>
                    <w:rFonts w:ascii="Cambria Math" w:hAnsi="Cambria Math"/>
                  </w:rPr>
                  <m:t>|</m:t>
                </m:r>
                <m:sSub>
                  <m:sSubPr/>
                  <m:e>
                    <m:r>
                      <m:rPr/>
                      <w:rPr>
                        <w:rFonts w:ascii="Cambria Math" w:hAnsi="Cambria Math"/>
                      </w:rPr>
                      <m:t>C</m:t>
                    </m:r>
                  </m:e>
                  <m:sub>
                    <m:r>
                      <m:rPr/>
                      <w:rPr>
                        <w:rFonts w:ascii="Cambria Math" w:hAnsi="Cambria Math"/>
                      </w:rPr>
                      <m:t>i</m:t>
                    </m:r>
                  </m:sub>
                </m:sSub>
                <m:r>
                  <m:rPr/>
                  <w:rPr>
                    <w:rFonts w:ascii="Cambria Math" w:hAnsi="Cambria Math"/>
                  </w:rPr>
                  <m:t>∩</m:t>
                </m:r>
                <m:sSub>
                  <m:sSubPr/>
                  <m:e>
                    <m:r>
                      <m:rPr/>
                      <w:rPr>
                        <w:rFonts w:ascii="Cambria Math" w:hAnsi="Cambria Math"/>
                      </w:rPr>
                      <m:t>C</m:t>
                    </m:r>
                  </m:e>
                  <m:sub>
                    <m:r>
                      <m:rPr/>
                      <w:rPr>
                        <w:rFonts w:ascii="Cambria Math" w:hAnsi="Cambria Math"/>
                      </w:rPr>
                      <m:t>j</m:t>
                    </m:r>
                  </m:sub>
                </m:sSub>
                <m:r>
                  <m:rPr/>
                  <w:rPr>
                    <w:rFonts w:ascii="Cambria Math" w:hAnsi="Cambria Math"/>
                  </w:rPr>
                  <m:t>|</m:t>
                </m:r>
              </m:num>
              <m:den>
                <m:r>
                  <m:rPr/>
                  <w:rPr>
                    <w:rFonts w:ascii="Cambria Math" w:hAnsi="Cambria Math"/>
                  </w:rPr>
                  <m:t>|</m:t>
                </m:r>
                <m:sSub>
                  <m:sSubPr/>
                  <m:e>
                    <m:r>
                      <m:rPr/>
                      <w:rPr>
                        <w:rFonts w:ascii="Cambria Math" w:hAnsi="Cambria Math"/>
                      </w:rPr>
                      <m:t>C</m:t>
                    </m:r>
                  </m:e>
                  <m:sub>
                    <m:r>
                      <m:rPr/>
                      <w:rPr>
                        <w:rFonts w:ascii="Cambria Math" w:hAnsi="Cambria Math"/>
                      </w:rPr>
                      <m:t>i</m:t>
                    </m:r>
                  </m:sub>
                </m:sSub>
                <m:r>
                  <m:rPr/>
                  <w:rPr>
                    <w:rFonts w:ascii="Cambria Math" w:hAnsi="Cambria Math"/>
                  </w:rPr>
                  <m:t>∪</m:t>
                </m:r>
                <m:sSub>
                  <m:sSubPr/>
                  <m:e>
                    <m:r>
                      <m:rPr/>
                      <w:rPr>
                        <w:rFonts w:ascii="Cambria Math" w:hAnsi="Cambria Math"/>
                      </w:rPr>
                      <m:t>C</m:t>
                    </m:r>
                  </m:e>
                  <m:sub>
                    <m:r>
                      <m:rPr/>
                      <w:rPr>
                        <w:rFonts w:ascii="Cambria Math" w:hAnsi="Cambria Math"/>
                      </w:rPr>
                      <m:t>j</m:t>
                    </m:r>
                  </m:sub>
                </m:sSub>
                <m:r>
                  <m:rPr/>
                  <w:rPr>
                    <w:rFonts w:ascii="Cambria Math" w:hAnsi="Cambria Math"/>
                  </w:rPr>
                  <m:t>|</m:t>
                </m:r>
              </m:den>
            </m:f>
            <m:r>
              <m:rPr/>
              <w:rPr>
                <w:rFonts w:ascii="Cambria Math" w:hAnsi="Cambria Math"/>
              </w:rPr>
              <m:t>)</m:t>
            </m:r>
          </m:e>
        </m:nary>
      </m:oMath>
    </w:p>
    <w:p w14:paraId="66901CCF">
      <w:pPr>
        <w:spacing w:before="120" w:after="120" w:line="288" w:lineRule="auto"/>
        <w:ind w:left="0"/>
        <w:jc w:val="left"/>
      </w:pPr>
      <w:r>
        <w:rPr>
          <w:rFonts w:ascii="Arial" w:hAnsi="Arial" w:eastAsia="等线" w:cs="Arial"/>
          <w:sz w:val="22"/>
        </w:rPr>
        <w:t>参数说明：</w:t>
      </w:r>
      <w:r>
        <w:rPr>
          <w:rFonts w:hint="eastAsia" w:ascii="Arial" w:hAnsi="Arial" w:eastAsia="等线" w:cs="Arial"/>
          <w:sz w:val="22"/>
        </w:rPr>
        <w:t>n为总集合数，包括1个人类基准集合和n−1次模型独立运行集合；C</w:t>
      </w:r>
      <w:r>
        <w:rPr>
          <w:rFonts w:hint="eastAsia" w:ascii="Arial" w:hAnsi="Arial" w:eastAsia="等线" w:cs="Arial"/>
          <w:sz w:val="22"/>
          <w:vertAlign w:val="subscript"/>
        </w:rPr>
        <w:t>1</w:t>
      </w:r>
      <w:r>
        <w:rPr>
          <w:rFonts w:hint="eastAsia" w:ascii="Arial" w:hAnsi="Arial" w:eastAsia="等线" w:cs="Arial"/>
          <w:sz w:val="22"/>
        </w:rPr>
        <w:t xml:space="preserve"> = C</w:t>
      </w:r>
      <w:r>
        <w:rPr>
          <w:rFonts w:hint="eastAsia" w:ascii="Arial" w:hAnsi="Arial" w:eastAsia="等线" w:cs="Arial"/>
          <w:sz w:val="22"/>
          <w:vertAlign w:val="subscript"/>
        </w:rPr>
        <w:t>human</w:t>
      </w:r>
      <w:r>
        <w:rPr>
          <w:rFonts w:hint="eastAsia" w:ascii="Arial" w:hAnsi="Arial" w:eastAsia="等线" w:cs="Arial"/>
          <w:sz w:val="22"/>
        </w:rPr>
        <w:t>，C</w:t>
      </w:r>
      <w:r>
        <w:rPr>
          <w:rFonts w:hint="eastAsia" w:ascii="Arial" w:hAnsi="Arial" w:eastAsia="等线" w:cs="Arial"/>
          <w:sz w:val="22"/>
          <w:vertAlign w:val="subscript"/>
        </w:rPr>
        <w:t>2</w:t>
      </w:r>
      <w:r>
        <w:rPr>
          <w:rFonts w:hint="eastAsia" w:ascii="Arial" w:hAnsi="Arial" w:eastAsia="等线" w:cs="Arial"/>
          <w:sz w:val="22"/>
        </w:rPr>
        <w:t>…C</w:t>
      </w:r>
      <w:r>
        <w:rPr>
          <w:rFonts w:hint="eastAsia" w:ascii="Arial" w:hAnsi="Arial" w:eastAsia="等线" w:cs="Arial"/>
          <w:sz w:val="22"/>
          <w:vertAlign w:val="subscript"/>
        </w:rPr>
        <w:t>n</w:t>
      </w:r>
      <w:r>
        <w:rPr>
          <w:rFonts w:hint="eastAsia" w:ascii="Arial" w:hAnsi="Arial" w:eastAsia="等线" w:cs="Arial"/>
          <w:sz w:val="22"/>
        </w:rPr>
        <w:t>为各轮模型运行的归一化去重原子命题集合。公式形式不变。</w:t>
      </w:r>
      <w:r>
        <w:rPr>
          <w:rFonts w:ascii="Arial" w:hAnsi="Arial" w:eastAsia="等线" w:cs="Arial"/>
          <w:sz w:val="22"/>
        </w:rPr>
        <w:t>。</w:t>
      </w:r>
    </w:p>
    <w:p w14:paraId="3F98115C">
      <w:pPr>
        <w:spacing w:before="260" w:after="120" w:line="288" w:lineRule="auto"/>
        <w:ind w:left="0"/>
        <w:jc w:val="left"/>
        <w:outlineLvl w:val="3"/>
      </w:pPr>
      <w:bookmarkStart w:id="29" w:name="heading_30"/>
      <w:r>
        <w:rPr>
          <w:rFonts w:ascii="Arial" w:hAnsi="Arial" w:eastAsia="等线" w:cs="Arial"/>
          <w:b/>
          <w:sz w:val="28"/>
        </w:rPr>
        <w:t>2. 边收敛度（SCI）</w:t>
      </w:r>
      <w:bookmarkEnd w:id="29"/>
    </w:p>
    <w:p w14:paraId="27D3DA09">
      <w:pPr>
        <w:spacing w:before="120" w:after="120" w:line="288" w:lineRule="auto"/>
        <w:ind w:left="0"/>
        <w:jc w:val="left"/>
      </w:pPr>
      <w:r>
        <w:rPr>
          <w:rFonts w:ascii="Arial" w:hAnsi="Arial" w:eastAsia="等线" w:cs="Arial"/>
          <w:sz w:val="22"/>
        </w:rPr>
        <w:t>指标含义：衡量模型论证结构与人类基准论证结构的匹配程度，反映论证逻辑链路的可复现性。</w:t>
      </w:r>
    </w:p>
    <w:p w14:paraId="78820888">
      <w:pPr>
        <w:spacing w:before="120" w:after="120" w:line="288" w:lineRule="auto"/>
        <w:ind w:left="0"/>
        <w:jc w:val="left"/>
      </w:pPr>
      <w:r>
        <w:rPr>
          <w:rFonts w:ascii="Arial" w:hAnsi="Arial" w:eastAsia="等线" w:cs="Arial"/>
          <w:sz w:val="22"/>
        </w:rPr>
        <w:t>计算规则：提取单轮输出中所有祖先节点到M的边（如C112→M1、B11→M1），排除A→M边及M→A边。所有节点经语义归一化映射为统一类别ID，保留方向，剔除单轮内重复边。 E</w:t>
      </w:r>
      <w:r>
        <w:rPr>
          <w:rFonts w:ascii="Arial" w:hAnsi="Arial" w:eastAsia="等线" w:cs="Arial"/>
          <w:sz w:val="22"/>
          <w:vertAlign w:val="subscript"/>
        </w:rPr>
        <w:t>run</w:t>
      </w:r>
      <w:r>
        <w:rPr>
          <w:rFonts w:ascii="Arial" w:hAnsi="Arial" w:eastAsia="等线" w:cs="Arial"/>
          <w:sz w:val="22"/>
        </w:rPr>
        <w:t>={(B</w:t>
      </w:r>
      <w:r>
        <w:rPr>
          <w:rFonts w:hint="eastAsia" w:ascii="Arial" w:hAnsi="Arial" w:eastAsia="等线" w:cs="Arial"/>
          <w:sz w:val="22"/>
          <w:vertAlign w:val="subscript"/>
          <w:lang w:val="en-US" w:eastAsia="zh-CN"/>
        </w:rPr>
        <w:t>1</w:t>
      </w:r>
      <w:r>
        <w:rPr>
          <w:rFonts w:ascii="Arial" w:hAnsi="Arial" w:eastAsia="等线" w:cs="Arial"/>
          <w:sz w:val="22"/>
        </w:rPr>
        <w:t>,C</w:t>
      </w:r>
      <w:r>
        <w:rPr>
          <w:rFonts w:hint="eastAsia" w:ascii="Arial" w:hAnsi="Arial" w:eastAsia="等线" w:cs="Arial"/>
          <w:sz w:val="22"/>
          <w:vertAlign w:val="subscript"/>
          <w:lang w:val="en-US" w:eastAsia="zh-CN"/>
        </w:rPr>
        <w:t>11</w:t>
      </w:r>
      <w:r>
        <w:rPr>
          <w:rFonts w:ascii="Arial" w:hAnsi="Arial" w:eastAsia="等线" w:cs="Arial"/>
          <w:sz w:val="22"/>
        </w:rPr>
        <w:t>), (C</w:t>
      </w:r>
      <w:r>
        <w:rPr>
          <w:rFonts w:hint="eastAsia" w:ascii="Arial" w:hAnsi="Arial" w:eastAsia="等线" w:cs="Arial"/>
          <w:sz w:val="22"/>
          <w:vertAlign w:val="subscript"/>
          <w:lang w:val="en-US" w:eastAsia="zh-CN"/>
        </w:rPr>
        <w:t>1</w:t>
      </w:r>
      <w:r>
        <w:rPr>
          <w:rFonts w:ascii="Arial" w:hAnsi="Arial" w:eastAsia="等线" w:cs="Arial"/>
          <w:sz w:val="22"/>
        </w:rPr>
        <w:t>,M</w:t>
      </w:r>
      <w:r>
        <w:rPr>
          <w:rFonts w:hint="eastAsia" w:ascii="Arial" w:hAnsi="Arial" w:eastAsia="等线" w:cs="Arial"/>
          <w:sz w:val="22"/>
          <w:vertAlign w:val="subscript"/>
          <w:lang w:val="en-US" w:eastAsia="zh-CN"/>
        </w:rPr>
        <w:t>1</w:t>
      </w:r>
      <w:r>
        <w:rPr>
          <w:rFonts w:ascii="Arial" w:hAnsi="Arial" w:eastAsia="等线" w:cs="Arial"/>
          <w:sz w:val="22"/>
        </w:rPr>
        <w:t>), …}；所有节点经语义归一化映射为统一类别ID，保留论证方向，剔除单轮内重复边，A节点及A→B顶层边不纳入统计。将E</w:t>
      </w:r>
      <w:r>
        <w:rPr>
          <w:rFonts w:ascii="Arial" w:hAnsi="Arial" w:eastAsia="等线" w:cs="Arial"/>
          <w:sz w:val="22"/>
          <w:vertAlign w:val="subscript"/>
        </w:rPr>
        <w:t>run</w:t>
      </w:r>
      <w:r>
        <w:rPr>
          <w:rFonts w:ascii="Arial" w:hAnsi="Arial" w:eastAsia="等线" w:cs="Arial"/>
          <w:sz w:val="22"/>
        </w:rPr>
        <w:t>与人类标准边集合E</w:t>
      </w:r>
      <w:r>
        <w:rPr>
          <w:rFonts w:ascii="Arial" w:hAnsi="Arial" w:eastAsia="等线" w:cs="Arial"/>
          <w:sz w:val="22"/>
          <w:vertAlign w:val="subscript"/>
        </w:rPr>
        <w:t>human</w:t>
      </w:r>
      <w:r>
        <w:rPr>
          <w:rFonts w:ascii="Arial" w:hAnsi="Arial" w:eastAsia="等线" w:cs="Arial"/>
          <w:sz w:val="22"/>
        </w:rPr>
        <w:t>比对。</w:t>
      </w:r>
    </w:p>
    <w:p w14:paraId="3BBA118C">
      <w:pPr>
        <w:spacing w:before="120" w:after="120" w:line="288" w:lineRule="auto"/>
        <w:ind w:left="0"/>
        <w:jc w:val="left"/>
        <w:rPr>
          <w:rFonts w:hint="eastAsia" w:eastAsia="宋体"/>
          <w:lang w:eastAsia="zh-CN"/>
        </w:rPr>
      </w:pPr>
      <w:r>
        <w:rPr>
          <w:rFonts w:ascii="Arial" w:hAnsi="Arial" w:eastAsia="等线" w:cs="Arial"/>
          <w:sz w:val="22"/>
        </w:rPr>
        <w:t>计算公式：</w:t>
      </w:r>
      <m:oMath>
        <m:r>
          <m:rPr/>
          <w:rPr>
            <w:rFonts w:ascii="Cambria Math" w:hAnsi="Cambria Math"/>
          </w:rPr>
          <m:t>SCI=</m:t>
        </m:r>
        <m:f>
          <m:fPr>
            <m:ctrlPr>
              <w:rPr>
                <w:rFonts w:hint="default" w:ascii="Cambria Math" w:hAnsi="Cambria Math"/>
                <w:i/>
                <w:lang w:val="en-US" w:eastAsia="zh-CN"/>
              </w:rPr>
            </m:ctrlPr>
          </m:fPr>
          <m:num>
            <m:r>
              <m:rPr/>
              <w:rPr>
                <w:rFonts w:hint="default" w:ascii="Cambria Math" w:hAnsi="Cambria Math"/>
                <w:lang w:val="en-US" w:eastAsia="zh-CN"/>
              </w:rPr>
              <m:t>2</m:t>
            </m:r>
            <m:ctrlPr>
              <w:rPr>
                <w:rFonts w:hint="default" w:ascii="Cambria Math" w:hAnsi="Cambria Math"/>
                <w:i/>
                <w:lang w:val="en-US" w:eastAsia="zh-CN"/>
              </w:rPr>
            </m:ctrlPr>
          </m:num>
          <m:den>
            <m:r>
              <m:rPr/>
              <w:rPr>
                <w:rFonts w:hint="default" w:ascii="Cambria Math" w:hAnsi="Cambria Math"/>
                <w:lang w:val="en-US" w:eastAsia="zh-CN"/>
              </w:rPr>
              <m:t>n(n−1)</m:t>
            </m:r>
            <m:ctrlPr>
              <w:rPr>
                <w:rFonts w:hint="default" w:ascii="Cambria Math" w:hAnsi="Cambria Math"/>
                <w:i/>
                <w:lang w:val="en-US" w:eastAsia="zh-CN"/>
              </w:rPr>
            </m:ctrlPr>
          </m:den>
        </m:f>
        <m:nary>
          <m:naryPr>
            <m:chr m:val="∑"/>
            <m:limLoc m:val="subSup"/>
            <m:supHide m:val="1"/>
            <m:ctrlPr>
              <w:rPr>
                <w:rFonts w:hint="default" w:ascii="Cambria Math" w:hAnsi="Cambria Math"/>
                <w:i/>
                <w:lang w:val="en-US" w:eastAsia="zh-CN"/>
              </w:rPr>
            </m:ctrlPr>
          </m:naryPr>
          <m:sub>
            <m:r>
              <m:rPr/>
              <w:rPr>
                <w:rFonts w:hint="default" w:ascii="Cambria Math" w:hAnsi="Cambria Math"/>
                <w:lang w:val="en-US" w:eastAsia="zh-CN"/>
              </w:rPr>
              <m:t>i&lt;j</m:t>
            </m:r>
            <m:ctrlPr>
              <w:rPr>
                <w:rFonts w:hint="default" w:ascii="Cambria Math" w:hAnsi="Cambria Math"/>
                <w:i/>
                <w:lang w:val="en-US" w:eastAsia="zh-CN"/>
              </w:rPr>
            </m:ctrlPr>
          </m:sub>
          <m:sup>
            <m:ctrlPr>
              <w:rPr>
                <w:rFonts w:hint="default" w:ascii="Cambria Math" w:hAnsi="Cambria Math"/>
                <w:i/>
                <w:lang w:val="en-US" w:eastAsia="zh-CN"/>
              </w:rPr>
            </m:ctrlPr>
          </m:sup>
          <m:e>
            <m:r>
              <m:rPr/>
              <w:rPr>
                <w:rFonts w:hint="default" w:ascii="Cambria Math" w:hAnsi="Cambria Math"/>
                <w:lang w:val="en-US" w:eastAsia="zh-CN"/>
              </w:rPr>
              <m:t xml:space="preserve"> </m:t>
            </m:r>
            <m:ctrlPr>
              <w:rPr>
                <w:rFonts w:hint="default" w:ascii="Cambria Math" w:hAnsi="Cambria Math"/>
                <w:i/>
                <w:lang w:val="en-US" w:eastAsia="zh-CN"/>
              </w:rPr>
            </m:ctrlPr>
          </m:e>
        </m:nary>
        <m:r>
          <m:rPr/>
          <w:rPr>
            <w:rFonts w:hint="default" w:ascii="Cambria Math" w:hAnsi="Cambria Math"/>
            <w:lang w:val="en-US" w:eastAsia="zh-CN"/>
          </w:rPr>
          <m:t>(1−</m:t>
        </m:r>
        <m:f>
          <m:fPr/>
          <m:num>
            <m:r>
              <m:rPr/>
              <w:rPr>
                <w:rFonts w:ascii="Cambria Math" w:hAnsi="Cambria Math"/>
              </w:rPr>
              <m:t>|</m:t>
            </m:r>
            <m:sSub>
              <m:sSubPr/>
              <m:e>
                <m:r>
                  <m:rPr/>
                  <w:rPr>
                    <w:rFonts w:ascii="Cambria Math" w:hAnsi="Cambria Math"/>
                  </w:rPr>
                  <m:t>E</m:t>
                </m:r>
              </m:e>
              <m:sub>
                <m:r>
                  <m:rPr>
                    <m:sty m:val="p"/>
                  </m:rPr>
                  <w:rPr>
                    <w:rFonts w:hint="eastAsia"/>
                    <w:lang w:val="en-US" w:eastAsia="zh-CN"/>
                  </w:rPr>
                  <m:t>i</m:t>
                </m:r>
              </m:sub>
            </m:sSub>
            <m:r>
              <m:rPr/>
              <w:rPr>
                <w:rFonts w:ascii="Cambria Math" w:hAnsi="Cambria Math"/>
              </w:rPr>
              <m:t>∩</m:t>
            </m:r>
            <m:sSub>
              <m:sSubPr/>
              <m:e>
                <m:r>
                  <m:rPr/>
                  <w:rPr>
                    <w:rFonts w:ascii="Cambria Math" w:hAnsi="Cambria Math"/>
                  </w:rPr>
                  <m:t>E</m:t>
                </m:r>
              </m:e>
              <m:sub>
                <m:r>
                  <m:rPr>
                    <m:sty m:val="p"/>
                  </m:rPr>
                  <w:rPr>
                    <w:rFonts w:hint="default" w:ascii="Cambria Math" w:hAnsi="Cambria Math"/>
                    <w:lang w:val="en-US" w:eastAsia="zh-CN"/>
                  </w:rPr>
                  <m:t>j</m:t>
                </m:r>
              </m:sub>
            </m:sSub>
            <m:r>
              <m:rPr/>
              <w:rPr>
                <w:rFonts w:ascii="Cambria Math" w:hAnsi="Cambria Math"/>
              </w:rPr>
              <m:t>|</m:t>
            </m:r>
          </m:num>
          <m:den>
            <m:r>
              <m:rPr/>
              <w:rPr>
                <w:rFonts w:ascii="Cambria Math" w:hAnsi="Cambria Math"/>
              </w:rPr>
              <m:t>|</m:t>
            </m:r>
            <m:sSub>
              <m:sSubPr/>
              <m:e>
                <m:r>
                  <m:rPr/>
                  <w:rPr>
                    <w:rFonts w:ascii="Cambria Math" w:hAnsi="Cambria Math"/>
                  </w:rPr>
                  <m:t>E</m:t>
                </m:r>
              </m:e>
              <m:sub>
                <m:r>
                  <m:rPr>
                    <m:sty m:val="p"/>
                  </m:rPr>
                  <w:rPr>
                    <w:rFonts w:hint="default" w:ascii="Cambria Math" w:hAnsi="Cambria Math"/>
                    <w:lang w:val="en-US" w:eastAsia="zh-CN"/>
                  </w:rPr>
                  <m:t>i</m:t>
                </m:r>
              </m:sub>
            </m:sSub>
            <m:nary>
              <m:naryPr>
                <m:chr m:val="⋃"/>
                <m:limLoc m:val="undOvr"/>
                <m:subHide m:val="1"/>
                <m:supHide m:val="1"/>
                <m:ctrlPr>
                  <w:rPr>
                    <w:i/>
                  </w:rPr>
                </m:ctrlPr>
              </m:naryPr>
              <m:sub>
                <m:ctrlPr>
                  <w:rPr>
                    <w:i/>
                  </w:rPr>
                </m:ctrlPr>
              </m:sub>
              <m:sup>
                <m:ctrlPr>
                  <w:rPr>
                    <w:i/>
                  </w:rPr>
                </m:ctrlPr>
              </m:sup>
              <m:e>
                <m:sSub>
                  <m:sSubPr/>
                  <m:e>
                    <m:r>
                      <m:rPr/>
                      <w:rPr>
                        <w:rFonts w:ascii="Cambria Math" w:hAnsi="Cambria Math"/>
                      </w:rPr>
                      <m:t>E</m:t>
                    </m:r>
                  </m:e>
                  <m:sub>
                    <m:r>
                      <m:rPr>
                        <m:sty m:val="p"/>
                      </m:rPr>
                      <w:rPr>
                        <w:rFonts w:hint="default"/>
                        <w:lang w:val="en-US" w:eastAsia="zh-CN"/>
                      </w:rPr>
                      <m:t>j</m:t>
                    </m:r>
                  </m:sub>
                </m:sSub>
                <m:ctrlPr>
                  <w:rPr>
                    <w:i/>
                  </w:rPr>
                </m:ctrlPr>
              </m:e>
            </m:nary>
            <m:r>
              <m:rPr/>
              <w:rPr>
                <w:rFonts w:ascii="Cambria Math" w:hAnsi="Cambria Math"/>
              </w:rPr>
              <m:t>|</m:t>
            </m:r>
          </m:den>
        </m:f>
      </m:oMath>
      <w:r>
        <w:rPr>
          <w:rFonts w:hint="eastAsia"/>
          <w:i w:val="0"/>
          <w:lang w:eastAsia="zh-CN"/>
        </w:rPr>
        <w:t>）</w:t>
      </w:r>
    </w:p>
    <w:p w14:paraId="67D34F6C">
      <w:pPr>
        <w:spacing w:before="120" w:after="120" w:line="288" w:lineRule="auto"/>
        <w:ind w:left="0"/>
        <w:jc w:val="left"/>
        <w:rPr>
          <w:rFonts w:hint="eastAsia" w:ascii="Arial" w:hAnsi="Arial" w:eastAsia="等线" w:cs="Arial"/>
          <w:sz w:val="22"/>
          <w:lang w:eastAsia="zh"/>
          <w:woUserID w:val="1"/>
        </w:rPr>
      </w:pPr>
      <w:r>
        <w:rPr>
          <w:rFonts w:ascii="Arial" w:hAnsi="Arial" w:eastAsia="等线" w:cs="Arial"/>
          <w:sz w:val="22"/>
        </w:rPr>
        <w:t>单篇论文最终SCI值为该条件下N次重复运行的均值。</w:t>
      </w:r>
    </w:p>
    <w:p w14:paraId="103CF7FF">
      <w:pPr>
        <w:spacing w:before="260" w:after="120" w:line="288" w:lineRule="auto"/>
        <w:ind w:left="0"/>
        <w:jc w:val="left"/>
        <w:outlineLvl w:val="3"/>
      </w:pPr>
      <w:bookmarkStart w:id="30" w:name="heading_31"/>
      <w:r>
        <w:rPr>
          <w:rFonts w:ascii="Arial" w:hAnsi="Arial" w:eastAsia="等线" w:cs="Arial"/>
          <w:b/>
          <w:sz w:val="28"/>
        </w:rPr>
        <w:t>3. 辅助描述性指标</w:t>
      </w:r>
      <w:bookmarkEnd w:id="30"/>
    </w:p>
    <w:p w14:paraId="25D40E94">
      <w:pPr>
        <w:numPr>
          <w:ilvl w:val="0"/>
          <w:numId w:val="18"/>
        </w:numPr>
        <w:spacing w:before="120" w:after="120" w:line="288" w:lineRule="auto"/>
        <w:ind w:left="0"/>
        <w:jc w:val="left"/>
      </w:pPr>
      <w:r>
        <w:rPr>
          <w:rFonts w:ascii="Arial" w:hAnsi="Arial" w:eastAsia="等线" w:cs="Arial"/>
          <w:sz w:val="22"/>
        </w:rPr>
        <w:t>M覆盖率：模型使用的史料单元数 / 史料池总单元数</w:t>
      </w:r>
    </w:p>
    <w:p w14:paraId="00E794A5">
      <w:pPr>
        <w:numPr>
          <w:ilvl w:val="0"/>
          <w:numId w:val="19"/>
        </w:numPr>
        <w:spacing w:before="120" w:after="120" w:line="288" w:lineRule="auto"/>
        <w:ind w:left="0"/>
        <w:jc w:val="left"/>
      </w:pPr>
      <w:r>
        <w:rPr>
          <w:rFonts w:ascii="Arial" w:hAnsi="Arial" w:eastAsia="等线" w:cs="Arial"/>
          <w:sz w:val="22"/>
        </w:rPr>
        <w:t>M选中频率分布：各史料单元被模型调用的频次统计</w:t>
      </w:r>
    </w:p>
    <w:p w14:paraId="0DA4720C">
      <w:pPr>
        <w:numPr>
          <w:ilvl w:val="0"/>
          <w:numId w:val="20"/>
        </w:numPr>
        <w:spacing w:before="120" w:after="120" w:line="288" w:lineRule="auto"/>
        <w:ind w:left="0"/>
        <w:jc w:val="left"/>
      </w:pPr>
      <w:r>
        <w:rPr>
          <w:rFonts w:ascii="Arial" w:hAnsi="Arial" w:eastAsia="等线" w:cs="Arial"/>
          <w:sz w:val="22"/>
        </w:rPr>
        <w:t>引用偏移：模型引用语句与史料核心句的字符距离</w:t>
      </w:r>
    </w:p>
    <w:p w14:paraId="15EE7069">
      <w:pPr>
        <w:spacing w:before="260" w:after="120" w:line="288" w:lineRule="auto"/>
        <w:ind w:left="0"/>
        <w:jc w:val="left"/>
        <w:outlineLvl w:val="3"/>
      </w:pPr>
      <w:bookmarkStart w:id="31" w:name="heading_32"/>
      <w:r>
        <w:rPr>
          <w:rFonts w:ascii="Arial" w:hAnsi="Arial" w:eastAsia="等线" w:cs="Arial"/>
          <w:b/>
          <w:sz w:val="28"/>
        </w:rPr>
        <w:t>4. 数据有效性约束</w:t>
      </w:r>
      <w:bookmarkEnd w:id="31"/>
    </w:p>
    <w:p w14:paraId="62632820">
      <w:pPr>
        <w:spacing w:before="120" w:after="120" w:line="288" w:lineRule="auto"/>
        <w:ind w:left="0"/>
        <w:jc w:val="left"/>
      </w:pPr>
      <w:r>
        <w:rPr>
          <w:rFonts w:hint="eastAsia" w:ascii="Arial" w:hAnsi="Arial" w:eastAsia="等线" w:cs="Arial"/>
          <w:sz w:val="22"/>
        </w:rPr>
        <w:t>主实验中，模型接收的史料池为人类基准使用的M集合（M</w:t>
      </w:r>
      <w:r>
        <w:rPr>
          <w:rFonts w:hint="eastAsia" w:ascii="Arial" w:hAnsi="Arial" w:eastAsia="等线" w:cs="Arial"/>
          <w:sz w:val="22"/>
          <w:vertAlign w:val="subscript"/>
        </w:rPr>
        <w:t>human</w:t>
      </w:r>
      <w:r>
        <w:rPr>
          <w:rFonts w:hint="eastAsia" w:ascii="Arial" w:hAnsi="Arial" w:eastAsia="等线" w:cs="Arial"/>
          <w:sz w:val="22"/>
        </w:rPr>
        <w:t>），要求模型使用全部M</w:t>
      </w:r>
      <w:r>
        <w:rPr>
          <w:rFonts w:hint="eastAsia" w:ascii="Arial" w:hAnsi="Arial" w:eastAsia="等线" w:cs="Arial"/>
          <w:sz w:val="22"/>
          <w:vertAlign w:val="subscript"/>
        </w:rPr>
        <w:t>human</w:t>
      </w:r>
      <w:r>
        <w:rPr>
          <w:rFonts w:hint="eastAsia" w:ascii="Arial" w:hAnsi="Arial" w:eastAsia="等线" w:cs="Arial"/>
          <w:sz w:val="22"/>
        </w:rPr>
        <w:t>。漏用任一史料单元的运行标记为无效，剔除并补跑。补充实验中放开M选择，报告MCI。</w:t>
      </w:r>
    </w:p>
    <w:p w14:paraId="4CC5B60B">
      <w:pPr>
        <w:spacing w:before="300" w:after="120" w:line="288" w:lineRule="auto"/>
        <w:ind w:left="0"/>
        <w:jc w:val="left"/>
        <w:outlineLvl w:val="2"/>
      </w:pPr>
      <w:bookmarkStart w:id="32" w:name="heading_33"/>
      <w:r>
        <w:rPr>
          <w:rFonts w:ascii="Arial" w:hAnsi="Arial" w:eastAsia="等线" w:cs="Arial"/>
          <w:b/>
          <w:sz w:val="30"/>
        </w:rPr>
        <w:t>第七步：单论文指标计算</w:t>
      </w:r>
      <w:bookmarkEnd w:id="32"/>
    </w:p>
    <w:p w14:paraId="449BA7F2">
      <w:pPr>
        <w:spacing w:before="120" w:after="120" w:line="288" w:lineRule="auto"/>
        <w:ind w:left="0"/>
        <w:jc w:val="left"/>
      </w:pPr>
      <w:r>
        <w:rPr>
          <w:rFonts w:ascii="Arial" w:hAnsi="Arial" w:eastAsia="等线" w:cs="Arial"/>
          <w:sz w:val="22"/>
        </w:rPr>
        <w:t>对每篇实验论文独立完成全部指标计算，分组统计</w:t>
      </w:r>
      <w:r>
        <w:rPr>
          <w:rFonts w:hint="eastAsia" w:ascii="Arial" w:hAnsi="Arial" w:eastAsia="等线" w:cs="Arial"/>
          <w:sz w:val="22"/>
          <w:lang w:val="en-US" w:eastAsia="zh-CN"/>
        </w:rPr>
        <w:t>Q</w:t>
      </w:r>
      <w:r>
        <w:rPr>
          <w:rFonts w:ascii="Arial" w:hAnsi="Arial" w:eastAsia="等线" w:cs="Arial"/>
          <w:sz w:val="22"/>
        </w:rPr>
        <w:t>组（论从史出）、A组（以论带史）的差异化数据，单篇输出指标体系：</w:t>
      </w:r>
    </w:p>
    <w:p w14:paraId="279B6BBC">
      <w:pPr>
        <w:numPr>
          <w:ilvl w:val="0"/>
          <w:numId w:val="21"/>
        </w:numPr>
        <w:spacing w:before="120" w:after="120" w:line="288" w:lineRule="auto"/>
        <w:ind w:left="0"/>
        <w:jc w:val="left"/>
      </w:pPr>
      <w:r>
        <w:rPr>
          <w:rFonts w:ascii="Arial" w:hAnsi="Arial" w:eastAsia="等线" w:cs="Arial"/>
          <w:sz w:val="22"/>
        </w:rPr>
        <w:t>分组ACI值（</w:t>
      </w:r>
      <w:r>
        <w:rPr>
          <w:rFonts w:hint="eastAsia" w:ascii="Arial" w:hAnsi="Arial" w:eastAsia="等线" w:cs="Arial"/>
          <w:sz w:val="22"/>
          <w:lang w:eastAsia="zh-CN"/>
        </w:rPr>
        <w:t>Q</w:t>
      </w:r>
      <w:r>
        <w:rPr>
          <w:rFonts w:ascii="Arial" w:hAnsi="Arial" w:eastAsia="等线" w:cs="Arial"/>
          <w:sz w:val="22"/>
        </w:rPr>
        <w:t>、A组分别统计）</w:t>
      </w:r>
    </w:p>
    <w:p w14:paraId="06D80DBE">
      <w:pPr>
        <w:numPr>
          <w:ilvl w:val="0"/>
          <w:numId w:val="22"/>
        </w:numPr>
        <w:spacing w:before="120" w:after="120" w:line="288" w:lineRule="auto"/>
        <w:ind w:left="0"/>
        <w:jc w:val="left"/>
      </w:pPr>
      <w:r>
        <w:rPr>
          <w:rFonts w:ascii="Arial" w:hAnsi="Arial" w:eastAsia="等线" w:cs="Arial"/>
          <w:sz w:val="22"/>
        </w:rPr>
        <w:t>分组SCI值（</w:t>
      </w:r>
      <w:r>
        <w:rPr>
          <w:rFonts w:hint="eastAsia" w:ascii="Arial" w:hAnsi="Arial" w:eastAsia="等线" w:cs="Arial"/>
          <w:sz w:val="22"/>
          <w:lang w:eastAsia="zh-CN"/>
        </w:rPr>
        <w:t>Q</w:t>
      </w:r>
      <w:r>
        <w:rPr>
          <w:rFonts w:ascii="Arial" w:hAnsi="Arial" w:eastAsia="等线" w:cs="Arial"/>
          <w:sz w:val="22"/>
        </w:rPr>
        <w:t>、A组分别统计）</w:t>
      </w:r>
    </w:p>
    <w:p w14:paraId="75967941">
      <w:pPr>
        <w:numPr>
          <w:ilvl w:val="0"/>
          <w:numId w:val="23"/>
        </w:numPr>
        <w:spacing w:before="120" w:after="120" w:line="288" w:lineRule="auto"/>
        <w:ind w:left="0"/>
        <w:jc w:val="left"/>
      </w:pPr>
      <w:r>
        <w:rPr>
          <w:rFonts w:ascii="Arial" w:hAnsi="Arial" w:eastAsia="等线" w:cs="Arial"/>
          <w:sz w:val="22"/>
        </w:rPr>
        <w:t>模型与人类基准C集合Jaccard相似度</w:t>
      </w:r>
    </w:p>
    <w:p w14:paraId="1E22FE24">
      <w:pPr>
        <w:numPr>
          <w:ilvl w:val="0"/>
          <w:numId w:val="24"/>
        </w:numPr>
        <w:spacing w:before="120" w:after="120" w:line="288" w:lineRule="auto"/>
        <w:ind w:left="0"/>
        <w:jc w:val="left"/>
      </w:pPr>
      <w:r>
        <w:rPr>
          <w:rFonts w:ascii="Arial" w:hAnsi="Arial" w:eastAsia="等线" w:cs="Arial"/>
          <w:sz w:val="22"/>
        </w:rPr>
        <w:t>模型与人类基准论证边集合Jaccard相似度</w:t>
      </w:r>
    </w:p>
    <w:p w14:paraId="7EBDF05D">
      <w:pPr>
        <w:numPr>
          <w:ilvl w:val="0"/>
          <w:numId w:val="25"/>
        </w:numPr>
        <w:spacing w:before="120" w:after="120" w:line="288" w:lineRule="auto"/>
        <w:ind w:left="0"/>
        <w:jc w:val="left"/>
      </w:pPr>
      <w:r>
        <w:rPr>
          <w:rFonts w:ascii="Arial" w:hAnsi="Arial" w:eastAsia="等线" w:cs="Arial"/>
          <w:sz w:val="22"/>
        </w:rPr>
        <w:t>M覆盖率、M选中频率分布、引用偏移均值</w:t>
      </w:r>
    </w:p>
    <w:p w14:paraId="33DFC2CF">
      <w:pPr>
        <w:spacing w:before="300" w:after="120" w:line="288" w:lineRule="auto"/>
        <w:ind w:left="0"/>
        <w:jc w:val="left"/>
        <w:outlineLvl w:val="2"/>
      </w:pPr>
      <w:bookmarkStart w:id="33" w:name="heading_34"/>
      <w:r>
        <w:rPr>
          <w:rFonts w:ascii="Arial" w:hAnsi="Arial" w:eastAsia="等线" w:cs="Arial"/>
          <w:b/>
          <w:sz w:val="30"/>
        </w:rPr>
        <w:t>第八步：跨论文汇总与统计分析</w:t>
      </w:r>
      <w:bookmarkEnd w:id="33"/>
    </w:p>
    <w:p w14:paraId="5302059C">
      <w:pPr>
        <w:spacing w:before="260" w:after="120" w:line="288" w:lineRule="auto"/>
        <w:ind w:left="0"/>
        <w:jc w:val="left"/>
        <w:outlineLvl w:val="3"/>
      </w:pPr>
      <w:bookmarkStart w:id="34" w:name="heading_35"/>
      <w:r>
        <w:rPr>
          <w:rFonts w:ascii="Arial" w:hAnsi="Arial" w:eastAsia="等线" w:cs="Arial"/>
          <w:b/>
          <w:sz w:val="28"/>
        </w:rPr>
        <w:t>1. 基础数据汇总</w:t>
      </w:r>
      <w:bookmarkEnd w:id="34"/>
    </w:p>
    <w:p w14:paraId="002E4642">
      <w:pPr>
        <w:spacing w:before="120" w:after="120" w:line="288" w:lineRule="auto"/>
        <w:ind w:left="0"/>
        <w:jc w:val="left"/>
      </w:pPr>
      <w:r>
        <w:rPr>
          <w:rFonts w:ascii="Arial" w:hAnsi="Arial" w:eastAsia="等线" w:cs="Arial"/>
          <w:sz w:val="22"/>
        </w:rPr>
        <w:t>每篇论文输出两组核心效应量：ACI′组间差值、SCI组间差值，作为跨样本分析的核心数据基础。</w:t>
      </w:r>
    </w:p>
    <w:p w14:paraId="2C192C16">
      <w:pPr>
        <w:spacing w:before="260" w:after="120" w:line="288" w:lineRule="auto"/>
        <w:ind w:left="0"/>
        <w:jc w:val="left"/>
        <w:outlineLvl w:val="3"/>
      </w:pPr>
      <w:bookmarkStart w:id="35" w:name="heading_36"/>
      <w:r>
        <w:rPr>
          <w:rFonts w:ascii="Arial" w:hAnsi="Arial" w:eastAsia="等线" w:cs="Arial"/>
          <w:b/>
          <w:sz w:val="28"/>
        </w:rPr>
        <w:t>2. 基础统计检验</w:t>
      </w:r>
      <w:bookmarkEnd w:id="35"/>
    </w:p>
    <w:p w14:paraId="56DF42EE">
      <w:pPr>
        <w:spacing w:before="120" w:after="120" w:line="288" w:lineRule="auto"/>
        <w:ind w:left="0"/>
        <w:jc w:val="left"/>
      </w:pPr>
      <w:r>
        <w:rPr>
          <w:rFonts w:ascii="Arial" w:hAnsi="Arial" w:eastAsia="等线" w:cs="Arial"/>
          <w:sz w:val="22"/>
        </w:rPr>
        <w:t>采用符号检验，核验30篇样本论文的效应量方向是否具备一致性，验证实验效应的普适性。基于随机效应模型，估计整体平均效应量与样本异质性，严格禁止合并多篇论文的C节点计算整体ACI′，保证统计独立性。</w:t>
      </w:r>
    </w:p>
    <w:p w14:paraId="600E3448">
      <w:pPr>
        <w:spacing w:before="260" w:after="120" w:line="288" w:lineRule="auto"/>
        <w:ind w:left="0"/>
        <w:jc w:val="left"/>
        <w:outlineLvl w:val="3"/>
      </w:pPr>
      <w:bookmarkStart w:id="36" w:name="heading_37"/>
      <w:r>
        <w:rPr>
          <w:rFonts w:ascii="Arial" w:hAnsi="Arial" w:eastAsia="等线" w:cs="Arial"/>
          <w:b/>
          <w:sz w:val="28"/>
        </w:rPr>
        <w:t>3. 贝叶斯灵敏度分析</w:t>
      </w:r>
      <w:bookmarkEnd w:id="36"/>
    </w:p>
    <w:p w14:paraId="1328EFD0">
      <w:pPr>
        <w:spacing w:before="120" w:after="120" w:line="288" w:lineRule="auto"/>
        <w:ind w:left="0"/>
        <w:jc w:val="left"/>
      </w:pPr>
      <w:r>
        <w:rPr>
          <w:rFonts w:ascii="Arial" w:hAnsi="Arial" w:eastAsia="等线" w:cs="Arial"/>
          <w:sz w:val="22"/>
        </w:rPr>
        <w:t>因实验重复次数固定（N=5–10），采用贝叶斯灵敏度分析替代传统频率派功效分析。预设三组理论有效最小效应量：ACI′差值0.05、0.10、0.15；SCI差值0.05、0.10、0.15。采用Cauchy先验（r = 1/√2），模拟验证N=5–10的实验设置能否以≥95%的概率实现BF₁₀ &gt; 10。</w:t>
      </w:r>
    </w:p>
    <w:p w14:paraId="41B70405">
      <w:pPr>
        <w:spacing w:before="260" w:after="120" w:line="288" w:lineRule="auto"/>
        <w:ind w:left="0"/>
        <w:jc w:val="left"/>
        <w:outlineLvl w:val="3"/>
      </w:pPr>
      <w:bookmarkStart w:id="37" w:name="heading_38"/>
      <w:r>
        <w:rPr>
          <w:rFonts w:ascii="Arial" w:hAnsi="Arial" w:eastAsia="等线" w:cs="Arial"/>
          <w:b/>
          <w:sz w:val="28"/>
        </w:rPr>
        <w:t>4. 组间差异检验与校正</w:t>
      </w:r>
      <w:bookmarkEnd w:id="37"/>
    </w:p>
    <w:p w14:paraId="74DFCAFC">
      <w:pPr>
        <w:spacing w:before="120" w:after="120" w:line="288" w:lineRule="auto"/>
        <w:ind w:left="0"/>
        <w:jc w:val="left"/>
      </w:pPr>
      <w:r>
        <w:rPr>
          <w:rFonts w:ascii="Arial" w:hAnsi="Arial" w:eastAsia="等线" w:cs="Arial"/>
          <w:sz w:val="22"/>
        </w:rPr>
        <w:t>以两组实验条件的ACI′差值为核心效应量，基于可交换实验设计，对实验条件标签进行9999次置换检验，完成显著性分析；多组核心比较采用Holm多重检验校正，控制一类错误。</w:t>
      </w:r>
    </w:p>
    <w:p w14:paraId="5E13B9E8">
      <w:pPr>
        <w:spacing w:before="260" w:after="120" w:line="288" w:lineRule="auto"/>
        <w:ind w:left="0"/>
        <w:jc w:val="left"/>
        <w:outlineLvl w:val="3"/>
      </w:pPr>
      <w:bookmarkStart w:id="38" w:name="heading_39"/>
      <w:r>
        <w:rPr>
          <w:rFonts w:ascii="Arial" w:hAnsi="Arial" w:eastAsia="等线" w:cs="Arial"/>
          <w:b/>
          <w:sz w:val="28"/>
        </w:rPr>
        <w:t>5. 置信区间与结果判定标准</w:t>
      </w:r>
      <w:bookmarkEnd w:id="38"/>
    </w:p>
    <w:p w14:paraId="1F93BF8C">
      <w:pPr>
        <w:spacing w:before="120" w:after="120" w:line="288" w:lineRule="auto"/>
        <w:ind w:left="0"/>
        <w:jc w:val="left"/>
        <w:rPr>
          <w:rFonts w:ascii="Arial" w:hAnsi="Arial" w:eastAsia="等线" w:cs="Arial"/>
          <w:sz w:val="22"/>
        </w:rPr>
      </w:pPr>
      <w:r>
        <w:rPr>
          <w:rFonts w:ascii="Arial" w:hAnsi="Arial" w:eastAsia="等线" w:cs="Arial"/>
          <w:sz w:val="22"/>
        </w:rPr>
        <w:t>采用jackknife删一法置信区间估计：依次剔除单轮实验数据，重新计算ACI′指标，估计标准误与置信区间。预先设定归一化误差阈值、最小有意义差异δ，仅当单侧置信上限低于δ时，判定实验结果“达到稳定收敛”；严禁将“组间差异不显著”等同于“论证结果收敛”。</w:t>
      </w:r>
    </w:p>
    <w:p w14:paraId="1D84D9A1">
      <w:pPr>
        <w:numPr>
          <w:ilvl w:val="0"/>
          <w:numId w:val="26"/>
        </w:numPr>
        <w:spacing w:before="120" w:after="120" w:line="288" w:lineRule="auto"/>
        <w:ind w:left="0"/>
        <w:jc w:val="left"/>
        <w:rPr>
          <w:rFonts w:hint="eastAsia" w:ascii="Arial" w:hAnsi="Arial" w:eastAsia="等线" w:cs="Arial"/>
          <w:b/>
          <w:sz w:val="28"/>
        </w:rPr>
      </w:pPr>
      <w:r>
        <w:rPr>
          <w:rFonts w:hint="eastAsia" w:ascii="Arial" w:hAnsi="Arial" w:eastAsia="等线" w:cs="Arial"/>
          <w:b/>
          <w:sz w:val="28"/>
        </w:rPr>
        <w:t>编码方法敏感性分析</w:t>
      </w:r>
    </w:p>
    <w:p w14:paraId="0FAFFB31">
      <w:pPr>
        <w:numPr>
          <w:ilvl w:val="0"/>
          <w:numId w:val="0"/>
        </w:numPr>
        <w:spacing w:before="120" w:after="120" w:line="288" w:lineRule="auto"/>
        <w:jc w:val="left"/>
        <w:rPr>
          <w:rFonts w:ascii="Arial" w:hAnsi="Arial" w:eastAsia="等线" w:cs="Arial"/>
          <w:sz w:val="22"/>
        </w:rPr>
      </w:pPr>
      <w:r>
        <w:rPr>
          <w:rFonts w:hint="eastAsia" w:ascii="Arial" w:hAnsi="Arial" w:eastAsia="等线" w:cs="Arial"/>
          <w:sz w:val="22"/>
        </w:rPr>
        <w:t>主分析使用盲态编码，稳健性检验使用模型自标结构。若两种方法条件效应方向一致，结论稳健；若不一致，报告并讨论</w:t>
      </w:r>
    </w:p>
    <w:p w14:paraId="5E471181">
      <w:pPr>
        <w:spacing w:before="300" w:after="120" w:line="288" w:lineRule="auto"/>
        <w:ind w:left="0"/>
        <w:jc w:val="left"/>
        <w:outlineLvl w:val="2"/>
      </w:pPr>
      <w:bookmarkStart w:id="39" w:name="heading_40"/>
      <w:r>
        <w:rPr>
          <w:rFonts w:ascii="Arial" w:hAnsi="Arial" w:eastAsia="等线" w:cs="Arial"/>
          <w:b/>
          <w:sz w:val="30"/>
        </w:rPr>
        <w:t>第九步：跨领域梯度对比分析</w:t>
      </w:r>
      <w:bookmarkEnd w:id="39"/>
    </w:p>
    <w:p w14:paraId="306EF207">
      <w:pPr>
        <w:spacing w:before="120" w:after="120" w:line="288" w:lineRule="auto"/>
        <w:ind w:left="0"/>
        <w:jc w:val="left"/>
        <w:rPr>
          <w:rFonts w:hint="eastAsia" w:eastAsia="等线"/>
          <w:lang w:eastAsia="zh-CN"/>
        </w:rPr>
      </w:pPr>
      <w:r>
        <w:rPr>
          <w:rFonts w:ascii="Arial" w:hAnsi="Arial" w:eastAsia="等线" w:cs="Arial"/>
          <w:sz w:val="22"/>
        </w:rPr>
        <w:t>按人文子领域对所有样本效应量分类汇总</w:t>
      </w:r>
      <w:r>
        <w:rPr>
          <w:rFonts w:hint="eastAsia" w:ascii="Arial" w:hAnsi="Arial" w:eastAsia="等线" w:cs="Arial"/>
          <w:sz w:val="22"/>
        </w:rPr>
        <w:t>探索性检验领域梯度假设（H3）。由于每个子领域样本量有限（n=10），该分析为探索性，不宣称领域层面的普遍性</w:t>
      </w:r>
      <w:r>
        <w:rPr>
          <w:rFonts w:hint="eastAsia" w:ascii="Arial" w:hAnsi="Arial" w:eastAsia="等线" w:cs="Arial"/>
          <w:sz w:val="22"/>
          <w:lang w:eastAsia="zh-CN"/>
        </w:rPr>
        <w:t>。</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ECBB1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6A6511A">
            <w:pPr>
              <w:spacing w:before="120" w:after="120" w:line="288" w:lineRule="auto"/>
              <w:ind w:left="0"/>
              <w:jc w:val="left"/>
            </w:pPr>
            <w:r>
              <w:rPr>
                <w:rFonts w:ascii="Arial" w:hAnsi="Arial" w:eastAsia="等线" w:cs="Arial"/>
                <w:sz w:val="22"/>
              </w:rPr>
              <w:t>子领域</w:t>
            </w:r>
          </w:p>
        </w:tc>
        <w:tc>
          <w:tcPr>
            <w:tcW w:w="2760" w:type="dxa"/>
            <w:tcMar>
              <w:top w:w="60" w:type="dxa"/>
              <w:left w:w="120" w:type="dxa"/>
              <w:bottom w:w="30" w:type="dxa"/>
              <w:right w:w="120" w:type="dxa"/>
            </w:tcMar>
          </w:tcPr>
          <w:p w14:paraId="553B4700">
            <w:pPr>
              <w:spacing w:before="120" w:after="120" w:line="288" w:lineRule="auto"/>
              <w:ind w:left="0"/>
              <w:jc w:val="left"/>
            </w:pPr>
            <w:r>
              <w:rPr>
                <w:rFonts w:ascii="Arial" w:hAnsi="Arial" w:eastAsia="等线" w:cs="Arial"/>
                <w:sz w:val="22"/>
              </w:rPr>
              <w:t>预期ACI（节点收敛度）</w:t>
            </w:r>
          </w:p>
        </w:tc>
        <w:tc>
          <w:tcPr>
            <w:tcW w:w="2760" w:type="dxa"/>
            <w:tcMar>
              <w:top w:w="60" w:type="dxa"/>
              <w:left w:w="120" w:type="dxa"/>
              <w:bottom w:w="30" w:type="dxa"/>
              <w:right w:w="120" w:type="dxa"/>
            </w:tcMar>
          </w:tcPr>
          <w:p w14:paraId="7460F818">
            <w:pPr>
              <w:spacing w:before="120" w:after="120" w:line="288" w:lineRule="auto"/>
              <w:ind w:left="0"/>
              <w:jc w:val="left"/>
            </w:pPr>
            <w:r>
              <w:rPr>
                <w:rFonts w:ascii="Arial" w:hAnsi="Arial" w:eastAsia="等线" w:cs="Arial"/>
                <w:sz w:val="22"/>
              </w:rPr>
              <w:t>预期SCI（结构收敛度）</w:t>
            </w:r>
          </w:p>
        </w:tc>
      </w:tr>
      <w:tr w14:paraId="1E8177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FB09E7C">
            <w:pPr>
              <w:spacing w:before="120" w:after="120" w:line="288" w:lineRule="auto"/>
              <w:ind w:left="0"/>
              <w:jc w:val="left"/>
            </w:pPr>
            <w:r>
              <w:rPr>
                <w:rFonts w:ascii="Arial" w:hAnsi="Arial" w:eastAsia="等线" w:cs="Arial"/>
                <w:sz w:val="22"/>
              </w:rPr>
              <w:t>经济史</w:t>
            </w:r>
          </w:p>
        </w:tc>
        <w:tc>
          <w:tcPr>
            <w:tcW w:w="2760" w:type="dxa"/>
            <w:tcMar>
              <w:top w:w="60" w:type="dxa"/>
              <w:left w:w="120" w:type="dxa"/>
              <w:bottom w:w="30" w:type="dxa"/>
              <w:right w:w="120" w:type="dxa"/>
            </w:tcMar>
          </w:tcPr>
          <w:p w14:paraId="54A1CCD8">
            <w:pPr>
              <w:spacing w:before="120" w:after="120" w:line="288" w:lineRule="auto"/>
              <w:ind w:left="0"/>
              <w:jc w:val="left"/>
            </w:pPr>
            <w:r>
              <w:rPr>
                <w:rFonts w:ascii="Arial" w:hAnsi="Arial" w:eastAsia="等线" w:cs="Arial"/>
                <w:sz w:val="22"/>
              </w:rPr>
              <w:t>低（收敛度高）</w:t>
            </w:r>
          </w:p>
        </w:tc>
        <w:tc>
          <w:tcPr>
            <w:tcW w:w="2760" w:type="dxa"/>
            <w:tcMar>
              <w:top w:w="60" w:type="dxa"/>
              <w:left w:w="120" w:type="dxa"/>
              <w:bottom w:w="30" w:type="dxa"/>
              <w:right w:w="120" w:type="dxa"/>
            </w:tcMar>
          </w:tcPr>
          <w:p w14:paraId="190C8C2A">
            <w:pPr>
              <w:spacing w:before="120" w:after="120" w:line="288" w:lineRule="auto"/>
              <w:ind w:left="0"/>
              <w:jc w:val="left"/>
              <w:rPr>
                <w:rFonts w:hint="default" w:eastAsia="宋体"/>
                <w:lang w:val="en-US" w:eastAsia="zh-CN"/>
              </w:rPr>
            </w:pPr>
            <w:r>
              <w:rPr>
                <w:rFonts w:hint="eastAsia"/>
                <w:lang w:val="en-US" w:eastAsia="zh-CN"/>
              </w:rPr>
              <w:t>低</w:t>
            </w:r>
          </w:p>
        </w:tc>
      </w:tr>
      <w:tr w14:paraId="2112E6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0B493CC">
            <w:pPr>
              <w:spacing w:before="120" w:after="120" w:line="288" w:lineRule="auto"/>
              <w:ind w:left="0"/>
              <w:jc w:val="left"/>
            </w:pPr>
            <w:r>
              <w:rPr>
                <w:rFonts w:ascii="Arial" w:hAnsi="Arial" w:eastAsia="等线" w:cs="Arial"/>
                <w:sz w:val="22"/>
              </w:rPr>
              <w:t>社会史</w:t>
            </w:r>
          </w:p>
        </w:tc>
        <w:tc>
          <w:tcPr>
            <w:tcW w:w="2760" w:type="dxa"/>
            <w:tcMar>
              <w:top w:w="60" w:type="dxa"/>
              <w:left w:w="120" w:type="dxa"/>
              <w:bottom w:w="30" w:type="dxa"/>
              <w:right w:w="120" w:type="dxa"/>
            </w:tcMar>
          </w:tcPr>
          <w:p w14:paraId="38507A2C">
            <w:pPr>
              <w:spacing w:before="120" w:after="120" w:line="288" w:lineRule="auto"/>
              <w:ind w:left="0"/>
              <w:jc w:val="left"/>
            </w:pPr>
            <w:r>
              <w:rPr>
                <w:rFonts w:ascii="Arial" w:hAnsi="Arial" w:eastAsia="等线" w:cs="Arial"/>
                <w:sz w:val="22"/>
              </w:rPr>
              <w:t>中</w:t>
            </w:r>
          </w:p>
        </w:tc>
        <w:tc>
          <w:tcPr>
            <w:tcW w:w="2760" w:type="dxa"/>
            <w:tcMar>
              <w:top w:w="60" w:type="dxa"/>
              <w:left w:w="120" w:type="dxa"/>
              <w:bottom w:w="30" w:type="dxa"/>
              <w:right w:w="120" w:type="dxa"/>
            </w:tcMar>
          </w:tcPr>
          <w:p w14:paraId="45A97844">
            <w:pPr>
              <w:spacing w:before="120" w:after="120" w:line="288" w:lineRule="auto"/>
              <w:ind w:left="0"/>
              <w:jc w:val="left"/>
            </w:pPr>
            <w:r>
              <w:rPr>
                <w:rFonts w:ascii="Arial" w:hAnsi="Arial" w:eastAsia="等线" w:cs="Arial"/>
                <w:sz w:val="22"/>
              </w:rPr>
              <w:t>中</w:t>
            </w:r>
          </w:p>
        </w:tc>
      </w:tr>
      <w:tr w14:paraId="17197C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339420E">
            <w:pPr>
              <w:spacing w:before="120" w:after="120" w:line="288" w:lineRule="auto"/>
              <w:ind w:left="0"/>
              <w:jc w:val="left"/>
            </w:pPr>
            <w:r>
              <w:rPr>
                <w:rFonts w:ascii="Arial" w:hAnsi="Arial" w:eastAsia="等线" w:cs="Arial"/>
                <w:sz w:val="22"/>
              </w:rPr>
              <w:t>思想史</w:t>
            </w:r>
          </w:p>
        </w:tc>
        <w:tc>
          <w:tcPr>
            <w:tcW w:w="2760" w:type="dxa"/>
            <w:tcMar>
              <w:top w:w="60" w:type="dxa"/>
              <w:left w:w="120" w:type="dxa"/>
              <w:bottom w:w="30" w:type="dxa"/>
              <w:right w:w="120" w:type="dxa"/>
            </w:tcMar>
          </w:tcPr>
          <w:p w14:paraId="24311135">
            <w:pPr>
              <w:spacing w:before="120" w:after="120" w:line="288" w:lineRule="auto"/>
              <w:ind w:left="0"/>
              <w:jc w:val="left"/>
            </w:pPr>
            <w:r>
              <w:rPr>
                <w:rFonts w:ascii="Arial" w:hAnsi="Arial" w:eastAsia="等线" w:cs="Arial"/>
                <w:sz w:val="22"/>
              </w:rPr>
              <w:t>高（收敛度低）</w:t>
            </w:r>
          </w:p>
        </w:tc>
        <w:tc>
          <w:tcPr>
            <w:tcW w:w="2760" w:type="dxa"/>
            <w:tcMar>
              <w:top w:w="60" w:type="dxa"/>
              <w:left w:w="120" w:type="dxa"/>
              <w:bottom w:w="30" w:type="dxa"/>
              <w:right w:w="120" w:type="dxa"/>
            </w:tcMar>
          </w:tcPr>
          <w:p w14:paraId="707D3E7E">
            <w:pPr>
              <w:spacing w:before="120" w:after="120" w:line="288" w:lineRule="auto"/>
              <w:ind w:left="0"/>
              <w:jc w:val="left"/>
              <w:rPr>
                <w:rFonts w:hint="eastAsia" w:eastAsia="宋体"/>
                <w:lang w:val="en-US" w:eastAsia="zh-CN"/>
              </w:rPr>
            </w:pPr>
            <w:r>
              <w:rPr>
                <w:rFonts w:hint="eastAsia"/>
                <w:lang w:val="en-US" w:eastAsia="zh-CN"/>
              </w:rPr>
              <w:t>高</w:t>
            </w:r>
          </w:p>
        </w:tc>
      </w:tr>
    </w:tbl>
    <w:p w14:paraId="122142E6">
      <w:pPr>
        <w:spacing w:before="120" w:after="120" w:line="288" w:lineRule="auto"/>
        <w:ind w:left="0"/>
        <w:jc w:val="left"/>
      </w:pPr>
      <w:r>
        <w:rPr>
          <w:rFonts w:ascii="Arial" w:hAnsi="Arial" w:eastAsia="等线" w:cs="Arial"/>
          <w:sz w:val="22"/>
        </w:rPr>
        <w:t>若实验呈现上述清晰梯度，即可证明：人文论证的可复现性边界本质是史料约束强度的函数，不同领域因史料规范性、约束性差异，形成差异化的可复现特征。</w:t>
      </w:r>
    </w:p>
    <w:p w14:paraId="16EE30A8">
      <w:pPr>
        <w:spacing w:before="300" w:after="120" w:line="288" w:lineRule="auto"/>
        <w:ind w:left="0"/>
        <w:jc w:val="left"/>
        <w:outlineLvl w:val="2"/>
      </w:pPr>
      <w:bookmarkStart w:id="40" w:name="heading_41"/>
      <w:r>
        <w:rPr>
          <w:rFonts w:ascii="Arial" w:hAnsi="Arial" w:eastAsia="等线" w:cs="Arial"/>
          <w:b/>
          <w:sz w:val="30"/>
        </w:rPr>
        <w:t>第十步：实验预期产出</w:t>
      </w:r>
      <w:bookmarkEnd w:id="40"/>
    </w:p>
    <w:p w14:paraId="29D8A3A6">
      <w:pPr>
        <w:numPr>
          <w:ilvl w:val="0"/>
          <w:numId w:val="27"/>
        </w:numPr>
        <w:spacing w:before="120" w:after="120" w:line="288" w:lineRule="auto"/>
        <w:ind w:left="0"/>
        <w:jc w:val="left"/>
      </w:pPr>
      <w:r>
        <w:rPr>
          <w:rFonts w:ascii="Arial" w:hAnsi="Arial" w:eastAsia="等线" w:cs="Arial"/>
          <w:b/>
          <w:sz w:val="22"/>
        </w:rPr>
        <w:t>条件空间交互图</w:t>
      </w:r>
      <w:r>
        <w:rPr>
          <w:rFonts w:ascii="Arial" w:hAnsi="Arial" w:eastAsia="等线" w:cs="Arial"/>
          <w:sz w:val="22"/>
        </w:rPr>
        <w:t>：可视化呈现问题意识、上下文规模、收敛度（ACI′、SCI分图）的三维交互关系</w:t>
      </w:r>
    </w:p>
    <w:p w14:paraId="215099ED">
      <w:pPr>
        <w:numPr>
          <w:ilvl w:val="0"/>
          <w:numId w:val="28"/>
        </w:numPr>
        <w:spacing w:before="120" w:after="120" w:line="288" w:lineRule="auto"/>
        <w:ind w:left="0"/>
        <w:jc w:val="left"/>
      </w:pPr>
      <w:r>
        <w:rPr>
          <w:rFonts w:ascii="Arial" w:hAnsi="Arial" w:eastAsia="等线" w:cs="Arial"/>
          <w:b/>
          <w:sz w:val="22"/>
        </w:rPr>
        <w:t>领域梯度图谱</w:t>
      </w:r>
      <w:r>
        <w:rPr>
          <w:rFonts w:ascii="Arial" w:hAnsi="Arial" w:eastAsia="等线" w:cs="Arial"/>
          <w:sz w:val="22"/>
        </w:rPr>
        <w:t>：量化展示经济史→社会史→思想史的可复现性梯度差异</w:t>
      </w:r>
    </w:p>
    <w:p w14:paraId="28D5C11B">
      <w:pPr>
        <w:numPr>
          <w:ilvl w:val="0"/>
          <w:numId w:val="29"/>
        </w:numPr>
        <w:spacing w:before="120" w:after="120" w:line="288" w:lineRule="auto"/>
        <w:ind w:left="0"/>
        <w:jc w:val="left"/>
      </w:pPr>
      <w:r>
        <w:rPr>
          <w:rFonts w:ascii="Arial" w:hAnsi="Arial" w:eastAsia="等线" w:cs="Arial"/>
          <w:b/>
          <w:sz w:val="22"/>
        </w:rPr>
        <w:t>双指标分离模式</w:t>
      </w:r>
      <w:r>
        <w:rPr>
          <w:rFonts w:ascii="Arial" w:hAnsi="Arial" w:eastAsia="等线" w:cs="Arial"/>
          <w:sz w:val="22"/>
        </w:rPr>
        <w:t>：识别概念节点收敛、论证结构收敛的分离条件与影响因素</w:t>
      </w:r>
    </w:p>
    <w:p w14:paraId="03F254D1">
      <w:pPr>
        <w:numPr>
          <w:ilvl w:val="0"/>
          <w:numId w:val="30"/>
        </w:numPr>
        <w:spacing w:before="120" w:after="120" w:line="288" w:lineRule="auto"/>
        <w:ind w:left="0"/>
        <w:jc w:val="left"/>
      </w:pPr>
      <w:r>
        <w:rPr>
          <w:rFonts w:ascii="Arial" w:hAnsi="Arial" w:eastAsia="等线" w:cs="Arial"/>
          <w:b/>
          <w:sz w:val="22"/>
        </w:rPr>
        <w:t>摘樱桃效应验证</w:t>
      </w:r>
      <w:r>
        <w:rPr>
          <w:rFonts w:ascii="Arial" w:hAnsi="Arial" w:eastAsia="等线" w:cs="Arial"/>
          <w:sz w:val="22"/>
        </w:rPr>
        <w:t>：明确上下文规模过大对论证收敛度的负向影响机制</w:t>
      </w:r>
    </w:p>
    <w:p w14:paraId="08249B1F">
      <w:pPr>
        <w:numPr>
          <w:ilvl w:val="0"/>
          <w:numId w:val="31"/>
        </w:numPr>
        <w:spacing w:before="120" w:after="120" w:line="288" w:lineRule="auto"/>
        <w:ind w:left="0"/>
        <w:jc w:val="left"/>
      </w:pPr>
      <w:r>
        <w:rPr>
          <w:rFonts w:ascii="Arial" w:hAnsi="Arial" w:eastAsia="等线" w:cs="Arial"/>
          <w:b/>
          <w:sz w:val="22"/>
        </w:rPr>
        <w:t>核心理论结论</w:t>
      </w:r>
      <w:r>
        <w:rPr>
          <w:rFonts w:ascii="Arial" w:hAnsi="Arial" w:eastAsia="等线" w:cs="Arial"/>
          <w:sz w:val="22"/>
        </w:rPr>
        <w:t>：</w:t>
      </w:r>
      <w:r>
        <w:rPr>
          <w:rFonts w:hint="eastAsia" w:ascii="Arial" w:hAnsi="Arial" w:eastAsia="等线" w:cs="Arial"/>
          <w:sz w:val="22"/>
        </w:rPr>
        <w:t>人文论证可复现性并非二元“有/无”属性，而是在本实验条件下依赖结论约束强度与史料上下文规模的条件性特征。该结论有待更大规模、跨模型验证。</w:t>
      </w:r>
    </w:p>
    <w:p w14:paraId="49A169BE">
      <w:pPr>
        <w:numPr>
          <w:ilvl w:val="0"/>
          <w:numId w:val="31"/>
        </w:numPr>
        <w:spacing w:before="120" w:after="120" w:line="288" w:lineRule="auto"/>
        <w:ind w:left="0"/>
        <w:jc w:val="left"/>
      </w:pPr>
      <w:r>
        <w:rPr>
          <w:rFonts w:hint="eastAsia" w:ascii="Arial" w:hAnsi="Arial" w:eastAsia="等线" w:cs="Arial"/>
          <w:b/>
          <w:bCs/>
          <w:sz w:val="22"/>
          <w:lang w:val="en-US" w:eastAsia="zh-CN"/>
        </w:rPr>
        <w:t>局限</w:t>
      </w:r>
      <w:r>
        <w:rPr>
          <w:rFonts w:hint="eastAsia" w:ascii="Arial" w:hAnsi="Arial" w:eastAsia="等线" w:cs="Arial"/>
          <w:sz w:val="22"/>
          <w:lang w:val="en-US" w:eastAsia="zh-CN"/>
        </w:rPr>
        <w:t>：受主实验强制使用全部M</w:t>
      </w:r>
      <w:r>
        <w:rPr>
          <w:rFonts w:hint="eastAsia" w:ascii="Arial" w:hAnsi="Arial" w:eastAsia="等线" w:cs="Arial"/>
          <w:sz w:val="22"/>
          <w:vertAlign w:val="subscript"/>
          <w:lang w:val="en-US" w:eastAsia="zh-CN"/>
        </w:rPr>
        <w:t>human</w:t>
      </w:r>
      <w:r>
        <w:rPr>
          <w:rFonts w:hint="eastAsia" w:ascii="Arial" w:hAnsi="Arial" w:eastAsia="等线" w:cs="Arial"/>
          <w:sz w:val="22"/>
          <w:lang w:val="en-US" w:eastAsia="zh-CN"/>
        </w:rPr>
        <w:t>以对齐两条件史料规模，代价是A条件下可能产生部分弱连接。补充实验通过放开M选择评估该约束的影响。</w:t>
      </w:r>
    </w:p>
    <w:p w14:paraId="0CA1BE3C">
      <w:pPr>
        <w:spacing w:before="320" w:after="120" w:line="288" w:lineRule="auto"/>
        <w:ind w:left="0"/>
        <w:jc w:val="left"/>
        <w:outlineLvl w:val="1"/>
      </w:pPr>
      <w:bookmarkStart w:id="41" w:name="heading_42"/>
      <w:r>
        <w:rPr>
          <w:rFonts w:ascii="Arial" w:hAnsi="Arial" w:eastAsia="等线" w:cs="Arial"/>
          <w:b/>
          <w:sz w:val="32"/>
        </w:rPr>
        <w:t>三、预实验跑通方案（正式实验前置校验）</w:t>
      </w:r>
      <w:bookmarkEnd w:id="41"/>
    </w:p>
    <w:p w14:paraId="251EA145">
      <w:pPr>
        <w:spacing w:before="120" w:after="120" w:line="288" w:lineRule="auto"/>
        <w:ind w:left="0"/>
        <w:jc w:val="left"/>
      </w:pPr>
      <w:r>
        <w:rPr>
          <w:rFonts w:ascii="Arial" w:hAnsi="Arial" w:eastAsia="等线" w:cs="Arial"/>
          <w:sz w:val="22"/>
        </w:rPr>
        <w:t>正式全量实验前，开展最小规模预实验，校验全流程可行性，迭代优化实验规则，不追求统计功效。</w:t>
      </w:r>
    </w:p>
    <w:p w14:paraId="09FBAC5C">
      <w:pPr>
        <w:spacing w:before="300" w:after="120" w:line="288" w:lineRule="auto"/>
        <w:ind w:left="0"/>
        <w:jc w:val="left"/>
        <w:outlineLvl w:val="2"/>
      </w:pPr>
      <w:bookmarkStart w:id="42" w:name="heading_43"/>
      <w:r>
        <w:rPr>
          <w:rFonts w:ascii="Arial" w:hAnsi="Arial" w:eastAsia="等线" w:cs="Arial"/>
          <w:b/>
          <w:sz w:val="30"/>
        </w:rPr>
        <w:t>1. 预实验样本</w:t>
      </w:r>
      <w:bookmarkEnd w:id="42"/>
    </w:p>
    <w:p w14:paraId="60DC29EA">
      <w:pPr>
        <w:spacing w:before="120" w:after="120" w:line="288" w:lineRule="auto"/>
        <w:ind w:left="0"/>
        <w:jc w:val="left"/>
      </w:pPr>
      <w:r>
        <w:rPr>
          <w:rFonts w:ascii="Arial" w:hAnsi="Arial" w:eastAsia="等线" w:cs="Arial"/>
          <w:sz w:val="22"/>
        </w:rPr>
        <w:t>1篇核心实验论文</w:t>
      </w:r>
    </w:p>
    <w:p w14:paraId="0E0C1A3A">
      <w:pPr>
        <w:spacing w:before="300" w:after="120" w:line="288" w:lineRule="auto"/>
        <w:ind w:left="0"/>
        <w:jc w:val="left"/>
        <w:outlineLvl w:val="2"/>
      </w:pPr>
      <w:bookmarkStart w:id="43" w:name="heading_44"/>
      <w:r>
        <w:rPr>
          <w:rFonts w:ascii="Arial" w:hAnsi="Arial" w:eastAsia="等线" w:cs="Arial"/>
          <w:b/>
          <w:sz w:val="30"/>
        </w:rPr>
        <w:t>2. 预实验条件</w:t>
      </w:r>
      <w:bookmarkEnd w:id="43"/>
    </w:p>
    <w:p w14:paraId="520AD53A">
      <w:pPr>
        <w:spacing w:before="120" w:after="120" w:line="288" w:lineRule="auto"/>
        <w:ind w:left="0"/>
        <w:jc w:val="left"/>
      </w:pPr>
      <w:r>
        <w:rPr>
          <w:rFonts w:hint="eastAsia" w:ascii="Arial" w:hAnsi="Arial" w:eastAsia="等线" w:cs="Arial"/>
          <w:sz w:val="22"/>
          <w:lang w:eastAsia="zh-CN"/>
        </w:rPr>
        <w:t>Q</w:t>
      </w:r>
      <w:r>
        <w:rPr>
          <w:rFonts w:ascii="Arial" w:hAnsi="Arial" w:eastAsia="等线" w:cs="Arial"/>
          <w:sz w:val="22"/>
        </w:rPr>
        <w:t>、A两组问题意识 × Small小规模上下文</w:t>
      </w:r>
    </w:p>
    <w:p w14:paraId="2B35C607">
      <w:pPr>
        <w:spacing w:before="300" w:after="120" w:line="288" w:lineRule="auto"/>
        <w:ind w:left="0"/>
        <w:jc w:val="left"/>
        <w:outlineLvl w:val="2"/>
      </w:pPr>
      <w:bookmarkStart w:id="44" w:name="heading_45"/>
      <w:r>
        <w:rPr>
          <w:rFonts w:ascii="Arial" w:hAnsi="Arial" w:eastAsia="等线" w:cs="Arial"/>
          <w:b/>
          <w:sz w:val="30"/>
        </w:rPr>
        <w:t>3. 运行参数</w:t>
      </w:r>
      <w:bookmarkEnd w:id="44"/>
    </w:p>
    <w:p w14:paraId="618C6F73">
      <w:pPr>
        <w:spacing w:before="120" w:after="120" w:line="288" w:lineRule="auto"/>
        <w:ind w:left="0"/>
        <w:jc w:val="left"/>
      </w:pPr>
      <w:r>
        <w:rPr>
          <w:rFonts w:ascii="Arial" w:hAnsi="Arial" w:eastAsia="等线" w:cs="Arial"/>
          <w:sz w:val="22"/>
        </w:rPr>
        <w:t>单条件重复 N=3–5次，总运行量6–10次</w:t>
      </w:r>
    </w:p>
    <w:p w14:paraId="6D7B1323">
      <w:pPr>
        <w:spacing w:before="300" w:after="120" w:line="288" w:lineRule="auto"/>
        <w:ind w:left="0"/>
        <w:jc w:val="left"/>
        <w:outlineLvl w:val="2"/>
      </w:pPr>
      <w:bookmarkStart w:id="45" w:name="heading_46"/>
      <w:r>
        <w:rPr>
          <w:rFonts w:ascii="Arial" w:hAnsi="Arial" w:eastAsia="等线" w:cs="Arial"/>
          <w:b/>
          <w:sz w:val="30"/>
        </w:rPr>
        <w:t>4. 预实验目标</w:t>
      </w:r>
      <w:bookmarkEnd w:id="45"/>
    </w:p>
    <w:p w14:paraId="25BE54E9">
      <w:pPr>
        <w:spacing w:before="120" w:after="120" w:line="288" w:lineRule="auto"/>
        <w:ind w:left="0"/>
        <w:jc w:val="left"/>
      </w:pPr>
      <w:r>
        <w:rPr>
          <w:rFonts w:ascii="Arial" w:hAnsi="Arial" w:eastAsia="等线" w:cs="Arial"/>
          <w:sz w:val="22"/>
        </w:rPr>
        <w:t>完整校验原子化提示词、等义判定规则、ACI与SCI指标计算逻辑的可行性，排查流程漏洞。预实验跑通后，修订标准化编码手册，再扩容至2篇样本试跑，无问题后启动30篇样本的正式全量实验。</w:t>
      </w:r>
    </w:p>
    <w:p w14:paraId="12D11D4D">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00000081" w:usb1="02000068" w:usb2="02000000" w:usb3="00000000" w:csb0="00000001" w:csb1="00000000"/>
  </w:font>
  <w:font w:name="DejaVu Sans">
    <w:panose1 w:val="020B0603030804020204"/>
    <w:charset w:val="00"/>
    <w:family w:val="auto"/>
    <w:pitch w:val="default"/>
    <w:sig w:usb0="E7006EFF" w:usb1="D200FDFF" w:usb2="0A246029" w:usb3="0400200C" w:csb0="600001FF" w:csb1="DFFF0000"/>
  </w:font>
  <w:font w:name="DejaVu Serif">
    <w:panose1 w:val="02060603050605020204"/>
    <w:charset w:val="00"/>
    <w:family w:val="auto"/>
    <w:pitch w:val="default"/>
    <w:sig w:usb0="E50006FF" w:usb1="5200F9FB" w:usb2="0A040020" w:usb3="00000000" w:csb0="6000009F" w:csb1="DFD70000"/>
  </w:font>
  <w:font w:name="Noto Sans">
    <w:panose1 w:val="020B0502040504020204"/>
    <w:charset w:val="00"/>
    <w:family w:val="auto"/>
    <w:pitch w:val="default"/>
    <w:sig w:usb0="E00002FF" w:usb1="4000001F" w:usb2="08000029" w:usb3="00100000" w:csb0="00000000" w:csb1="00000000"/>
  </w:font>
  <w:font w:name="华文中宋">
    <w:panose1 w:val="02010600040101010101"/>
    <w:charset w:val="86"/>
    <w:family w:val="auto"/>
    <w:pitch w:val="default"/>
    <w:sig w:usb0="00000287" w:usb1="080F0000" w:usb2="00000000" w:usb3="00000000" w:csb0="0004009F" w:csb1="DFD7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AD06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90BD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singleLevel"/>
    <w:tmpl w:val="8461FADE"/>
    <w:lvl w:ilvl="0" w:tentative="0">
      <w:start w:val="5"/>
      <w:numFmt w:val="decimal"/>
      <w:lvlText w:val="%1."/>
      <w:lvlJc w:val="left"/>
      <w:rPr>
        <w:color w:val="3370FF"/>
      </w:rPr>
    </w:lvl>
  </w:abstractNum>
  <w:abstractNum w:abstractNumId="1">
    <w:nsid w:val="9239341B"/>
    <w:multiLevelType w:val="singleLevel"/>
    <w:tmpl w:val="9239341B"/>
    <w:lvl w:ilvl="0" w:tentative="0">
      <w:start w:val="0"/>
      <w:numFmt w:val="bullet"/>
      <w:lvlText w:val="•"/>
      <w:lvlJc w:val="left"/>
      <w:rPr>
        <w:color w:val="3370FF"/>
      </w:rPr>
    </w:lvl>
  </w:abstractNum>
  <w:abstractNum w:abstractNumId="2">
    <w:nsid w:val="9288B902"/>
    <w:multiLevelType w:val="singleLevel"/>
    <w:tmpl w:val="9288B902"/>
    <w:lvl w:ilvl="0" w:tentative="0">
      <w:start w:val="3"/>
      <w:numFmt w:val="decimal"/>
      <w:lvlText w:val="%1."/>
      <w:lvlJc w:val="left"/>
      <w:rPr>
        <w:color w:val="3370FF"/>
      </w:rPr>
    </w:lvl>
  </w:abstractNum>
  <w:abstractNum w:abstractNumId="3">
    <w:nsid w:val="9C8AC8EF"/>
    <w:multiLevelType w:val="singleLevel"/>
    <w:tmpl w:val="9C8AC8EF"/>
    <w:lvl w:ilvl="0" w:tentative="0">
      <w:start w:val="0"/>
      <w:numFmt w:val="bullet"/>
      <w:lvlText w:val="•"/>
      <w:lvlJc w:val="left"/>
      <w:rPr>
        <w:color w:val="3370FF"/>
      </w:rPr>
    </w:lvl>
  </w:abstractNum>
  <w:abstractNum w:abstractNumId="4">
    <w:nsid w:val="B0F1ACD9"/>
    <w:multiLevelType w:val="singleLevel"/>
    <w:tmpl w:val="B0F1ACD9"/>
    <w:lvl w:ilvl="0" w:tentative="0">
      <w:start w:val="0"/>
      <w:numFmt w:val="bullet"/>
      <w:lvlText w:val="•"/>
      <w:lvlJc w:val="left"/>
      <w:rPr>
        <w:color w:val="3370FF"/>
      </w:rPr>
    </w:lvl>
  </w:abstractNum>
  <w:abstractNum w:abstractNumId="5">
    <w:nsid w:val="B5E306ED"/>
    <w:multiLevelType w:val="singleLevel"/>
    <w:tmpl w:val="B5E306ED"/>
    <w:lvl w:ilvl="0" w:tentative="0">
      <w:start w:val="0"/>
      <w:numFmt w:val="bullet"/>
      <w:lvlText w:val="•"/>
      <w:lvlJc w:val="left"/>
      <w:rPr>
        <w:color w:val="3370FF"/>
      </w:rPr>
    </w:lvl>
  </w:abstractNum>
  <w:abstractNum w:abstractNumId="6">
    <w:nsid w:val="BE923771"/>
    <w:multiLevelType w:val="singleLevel"/>
    <w:tmpl w:val="BE923771"/>
    <w:lvl w:ilvl="0" w:tentative="0">
      <w:start w:val="1"/>
      <w:numFmt w:val="decimal"/>
      <w:lvlText w:val="%1."/>
      <w:lvlJc w:val="left"/>
      <w:rPr>
        <w:color w:val="3370FF"/>
      </w:rPr>
    </w:lvl>
  </w:abstractNum>
  <w:abstractNum w:abstractNumId="7">
    <w:nsid w:val="BF205925"/>
    <w:multiLevelType w:val="singleLevel"/>
    <w:tmpl w:val="BF205925"/>
    <w:lvl w:ilvl="0" w:tentative="0">
      <w:start w:val="0"/>
      <w:numFmt w:val="bullet"/>
      <w:lvlText w:val="•"/>
      <w:lvlJc w:val="left"/>
      <w:rPr>
        <w:color w:val="3370FF"/>
      </w:rPr>
    </w:lvl>
  </w:abstractNum>
  <w:abstractNum w:abstractNumId="8">
    <w:nsid w:val="C54DD426"/>
    <w:multiLevelType w:val="singleLevel"/>
    <w:tmpl w:val="C54DD426"/>
    <w:lvl w:ilvl="0" w:tentative="0">
      <w:start w:val="6"/>
      <w:numFmt w:val="decimal"/>
      <w:lvlText w:val="%1."/>
      <w:lvlJc w:val="left"/>
      <w:pPr>
        <w:tabs>
          <w:tab w:val="left" w:pos="312"/>
        </w:tabs>
      </w:pPr>
    </w:lvl>
  </w:abstractNum>
  <w:abstractNum w:abstractNumId="9">
    <w:nsid w:val="C8879AEF"/>
    <w:multiLevelType w:val="singleLevel"/>
    <w:tmpl w:val="C8879AEF"/>
    <w:lvl w:ilvl="0" w:tentative="0">
      <w:start w:val="0"/>
      <w:numFmt w:val="bullet"/>
      <w:lvlText w:val="•"/>
      <w:lvlJc w:val="left"/>
      <w:rPr>
        <w:color w:val="3370FF"/>
      </w:rPr>
    </w:lvl>
  </w:abstractNum>
  <w:abstractNum w:abstractNumId="10">
    <w:nsid w:val="CF092B84"/>
    <w:multiLevelType w:val="singleLevel"/>
    <w:tmpl w:val="CF092B84"/>
    <w:lvl w:ilvl="0" w:tentative="0">
      <w:start w:val="0"/>
      <w:numFmt w:val="bullet"/>
      <w:lvlText w:val="•"/>
      <w:lvlJc w:val="left"/>
      <w:rPr>
        <w:color w:val="3370FF"/>
      </w:rPr>
    </w:lvl>
  </w:abstractNum>
  <w:abstractNum w:abstractNumId="11">
    <w:nsid w:val="D7F9FE59"/>
    <w:multiLevelType w:val="singleLevel"/>
    <w:tmpl w:val="D7F9FE59"/>
    <w:lvl w:ilvl="0" w:tentative="0">
      <w:start w:val="0"/>
      <w:numFmt w:val="bullet"/>
      <w:lvlText w:val="•"/>
      <w:lvlJc w:val="left"/>
      <w:rPr>
        <w:color w:val="3370FF"/>
      </w:rPr>
    </w:lvl>
  </w:abstractNum>
  <w:abstractNum w:abstractNumId="12">
    <w:nsid w:val="DCBA6B53"/>
    <w:multiLevelType w:val="singleLevel"/>
    <w:tmpl w:val="DCBA6B53"/>
    <w:lvl w:ilvl="0" w:tentative="0">
      <w:start w:val="0"/>
      <w:numFmt w:val="bullet"/>
      <w:lvlText w:val="•"/>
      <w:lvlJc w:val="left"/>
      <w:rPr>
        <w:color w:val="3370FF"/>
      </w:rPr>
    </w:lvl>
  </w:abstractNum>
  <w:abstractNum w:abstractNumId="13">
    <w:nsid w:val="F4B5D9F5"/>
    <w:multiLevelType w:val="singleLevel"/>
    <w:tmpl w:val="F4B5D9F5"/>
    <w:lvl w:ilvl="0" w:tentative="0">
      <w:start w:val="0"/>
      <w:numFmt w:val="bullet"/>
      <w:lvlText w:val="•"/>
      <w:lvlJc w:val="left"/>
      <w:rPr>
        <w:color w:val="3370FF"/>
      </w:rPr>
    </w:lvl>
  </w:abstractNum>
  <w:abstractNum w:abstractNumId="14">
    <w:nsid w:val="0053208E"/>
    <w:multiLevelType w:val="singleLevel"/>
    <w:tmpl w:val="0053208E"/>
    <w:lvl w:ilvl="0" w:tentative="0">
      <w:start w:val="0"/>
      <w:numFmt w:val="bullet"/>
      <w:lvlText w:val="•"/>
      <w:lvlJc w:val="left"/>
      <w:rPr>
        <w:color w:val="3370FF"/>
      </w:rPr>
    </w:lvl>
  </w:abstractNum>
  <w:abstractNum w:abstractNumId="15">
    <w:nsid w:val="0248C179"/>
    <w:multiLevelType w:val="singleLevel"/>
    <w:tmpl w:val="0248C179"/>
    <w:lvl w:ilvl="0" w:tentative="0">
      <w:start w:val="0"/>
      <w:numFmt w:val="bullet"/>
      <w:lvlText w:val="•"/>
      <w:lvlJc w:val="left"/>
      <w:rPr>
        <w:color w:val="3370FF"/>
      </w:rPr>
    </w:lvl>
  </w:abstractNum>
  <w:abstractNum w:abstractNumId="16">
    <w:nsid w:val="03D62ECE"/>
    <w:multiLevelType w:val="singleLevel"/>
    <w:tmpl w:val="03D62ECE"/>
    <w:lvl w:ilvl="0" w:tentative="0">
      <w:start w:val="0"/>
      <w:numFmt w:val="bullet"/>
      <w:lvlText w:val="•"/>
      <w:lvlJc w:val="left"/>
      <w:rPr>
        <w:color w:val="3370FF"/>
      </w:rPr>
    </w:lvl>
  </w:abstractNum>
  <w:abstractNum w:abstractNumId="17">
    <w:nsid w:val="0E640482"/>
    <w:multiLevelType w:val="singleLevel"/>
    <w:tmpl w:val="0E640482"/>
    <w:lvl w:ilvl="0" w:tentative="0">
      <w:start w:val="0"/>
      <w:numFmt w:val="bullet"/>
      <w:lvlText w:val="•"/>
      <w:lvlJc w:val="left"/>
      <w:rPr>
        <w:color w:val="3370FF"/>
      </w:rPr>
    </w:lvl>
  </w:abstractNum>
  <w:abstractNum w:abstractNumId="18">
    <w:nsid w:val="2470EC97"/>
    <w:multiLevelType w:val="singleLevel"/>
    <w:tmpl w:val="2470EC97"/>
    <w:lvl w:ilvl="0" w:tentative="0">
      <w:start w:val="0"/>
      <w:numFmt w:val="bullet"/>
      <w:lvlText w:val="•"/>
      <w:lvlJc w:val="left"/>
      <w:rPr>
        <w:color w:val="3370FF"/>
      </w:rPr>
    </w:lvl>
  </w:abstractNum>
  <w:abstractNum w:abstractNumId="19">
    <w:nsid w:val="25B654F3"/>
    <w:multiLevelType w:val="singleLevel"/>
    <w:tmpl w:val="25B654F3"/>
    <w:lvl w:ilvl="0" w:tentative="0">
      <w:start w:val="0"/>
      <w:numFmt w:val="bullet"/>
      <w:lvlText w:val="•"/>
      <w:lvlJc w:val="left"/>
      <w:rPr>
        <w:color w:val="3370FF"/>
      </w:rPr>
    </w:lvl>
  </w:abstractNum>
  <w:abstractNum w:abstractNumId="20">
    <w:nsid w:val="2A8F537B"/>
    <w:multiLevelType w:val="singleLevel"/>
    <w:tmpl w:val="2A8F537B"/>
    <w:lvl w:ilvl="0" w:tentative="0">
      <w:start w:val="0"/>
      <w:numFmt w:val="bullet"/>
      <w:lvlText w:val="•"/>
      <w:lvlJc w:val="left"/>
      <w:rPr>
        <w:color w:val="3370FF"/>
      </w:rPr>
    </w:lvl>
  </w:abstractNum>
  <w:abstractNum w:abstractNumId="21">
    <w:nsid w:val="39A0D9AC"/>
    <w:multiLevelType w:val="singleLevel"/>
    <w:tmpl w:val="39A0D9AC"/>
    <w:lvl w:ilvl="0" w:tentative="0">
      <w:start w:val="4"/>
      <w:numFmt w:val="decimal"/>
      <w:lvlText w:val="%1."/>
      <w:lvlJc w:val="left"/>
      <w:rPr>
        <w:color w:val="3370FF"/>
      </w:rPr>
    </w:lvl>
  </w:abstractNum>
  <w:abstractNum w:abstractNumId="22">
    <w:nsid w:val="46A08BB8"/>
    <w:multiLevelType w:val="singleLevel"/>
    <w:tmpl w:val="46A08BB8"/>
    <w:lvl w:ilvl="0" w:tentative="0">
      <w:start w:val="0"/>
      <w:numFmt w:val="bullet"/>
      <w:lvlText w:val="•"/>
      <w:lvlJc w:val="left"/>
      <w:rPr>
        <w:color w:val="3370FF"/>
      </w:rPr>
    </w:lvl>
  </w:abstractNum>
  <w:abstractNum w:abstractNumId="23">
    <w:nsid w:val="4C1BAE26"/>
    <w:multiLevelType w:val="singleLevel"/>
    <w:tmpl w:val="4C1BAE26"/>
    <w:lvl w:ilvl="0" w:tentative="0">
      <w:start w:val="0"/>
      <w:numFmt w:val="bullet"/>
      <w:lvlText w:val="•"/>
      <w:lvlJc w:val="left"/>
      <w:rPr>
        <w:color w:val="3370FF"/>
      </w:rPr>
    </w:lvl>
  </w:abstractNum>
  <w:abstractNum w:abstractNumId="24">
    <w:nsid w:val="4D4DC07F"/>
    <w:multiLevelType w:val="singleLevel"/>
    <w:tmpl w:val="4D4DC07F"/>
    <w:lvl w:ilvl="0" w:tentative="0">
      <w:start w:val="0"/>
      <w:numFmt w:val="bullet"/>
      <w:lvlText w:val="•"/>
      <w:lvlJc w:val="left"/>
      <w:rPr>
        <w:color w:val="3370FF"/>
      </w:rPr>
    </w:lvl>
  </w:abstractNum>
  <w:abstractNum w:abstractNumId="25">
    <w:nsid w:val="59ADCABA"/>
    <w:multiLevelType w:val="singleLevel"/>
    <w:tmpl w:val="59ADCABA"/>
    <w:lvl w:ilvl="0" w:tentative="0">
      <w:start w:val="0"/>
      <w:numFmt w:val="bullet"/>
      <w:lvlText w:val="•"/>
      <w:lvlJc w:val="left"/>
      <w:rPr>
        <w:color w:val="3370FF"/>
      </w:rPr>
    </w:lvl>
  </w:abstractNum>
  <w:abstractNum w:abstractNumId="26">
    <w:nsid w:val="5A241D34"/>
    <w:multiLevelType w:val="singleLevel"/>
    <w:tmpl w:val="5A241D34"/>
    <w:lvl w:ilvl="0" w:tentative="0">
      <w:start w:val="0"/>
      <w:numFmt w:val="bullet"/>
      <w:lvlText w:val="•"/>
      <w:lvlJc w:val="left"/>
      <w:rPr>
        <w:color w:val="3370FF"/>
      </w:rPr>
    </w:lvl>
  </w:abstractNum>
  <w:abstractNum w:abstractNumId="27">
    <w:nsid w:val="629F7852"/>
    <w:multiLevelType w:val="singleLevel"/>
    <w:tmpl w:val="629F7852"/>
    <w:lvl w:ilvl="0" w:tentative="0">
      <w:start w:val="2"/>
      <w:numFmt w:val="decimal"/>
      <w:lvlText w:val="%1."/>
      <w:lvlJc w:val="left"/>
      <w:rPr>
        <w:color w:val="3370FF"/>
      </w:rPr>
    </w:lvl>
  </w:abstractNum>
  <w:abstractNum w:abstractNumId="28">
    <w:nsid w:val="72183CF9"/>
    <w:multiLevelType w:val="singleLevel"/>
    <w:tmpl w:val="72183CF9"/>
    <w:lvl w:ilvl="0" w:tentative="0">
      <w:start w:val="0"/>
      <w:numFmt w:val="bullet"/>
      <w:lvlText w:val="•"/>
      <w:lvlJc w:val="left"/>
      <w:rPr>
        <w:color w:val="3370FF"/>
      </w:rPr>
    </w:lvl>
  </w:abstractNum>
  <w:abstractNum w:abstractNumId="29">
    <w:nsid w:val="77ECEA79"/>
    <w:multiLevelType w:val="singleLevel"/>
    <w:tmpl w:val="77ECEA79"/>
    <w:lvl w:ilvl="0" w:tentative="0">
      <w:start w:val="0"/>
      <w:numFmt w:val="bullet"/>
      <w:lvlText w:val="•"/>
      <w:lvlJc w:val="left"/>
      <w:rPr>
        <w:color w:val="3370FF"/>
      </w:rPr>
    </w:lvl>
  </w:abstractNum>
  <w:abstractNum w:abstractNumId="30">
    <w:nsid w:val="7C246926"/>
    <w:multiLevelType w:val="singleLevel"/>
    <w:tmpl w:val="7C246926"/>
    <w:lvl w:ilvl="0" w:tentative="0">
      <w:start w:val="0"/>
      <w:numFmt w:val="bullet"/>
      <w:lvlText w:val="•"/>
      <w:lvlJc w:val="left"/>
      <w:rPr>
        <w:color w:val="3370FF"/>
      </w:rPr>
    </w:lvl>
  </w:abstractNum>
  <w:num w:numId="1">
    <w:abstractNumId w:val="14"/>
  </w:num>
  <w:num w:numId="2">
    <w:abstractNumId w:val="10"/>
  </w:num>
  <w:num w:numId="3">
    <w:abstractNumId w:val="25"/>
  </w:num>
  <w:num w:numId="4">
    <w:abstractNumId w:val="7"/>
  </w:num>
  <w:num w:numId="5">
    <w:abstractNumId w:val="5"/>
  </w:num>
  <w:num w:numId="6">
    <w:abstractNumId w:val="16"/>
  </w:num>
  <w:num w:numId="7">
    <w:abstractNumId w:val="19"/>
  </w:num>
  <w:num w:numId="8">
    <w:abstractNumId w:val="28"/>
  </w:num>
  <w:num w:numId="9">
    <w:abstractNumId w:val="15"/>
  </w:num>
  <w:num w:numId="10">
    <w:abstractNumId w:val="1"/>
  </w:num>
  <w:num w:numId="11">
    <w:abstractNumId w:val="20"/>
  </w:num>
  <w:num w:numId="12">
    <w:abstractNumId w:val="26"/>
  </w:num>
  <w:num w:numId="13">
    <w:abstractNumId w:val="9"/>
  </w:num>
  <w:num w:numId="14">
    <w:abstractNumId w:val="24"/>
  </w:num>
  <w:num w:numId="15">
    <w:abstractNumId w:val="13"/>
  </w:num>
  <w:num w:numId="16">
    <w:abstractNumId w:val="18"/>
  </w:num>
  <w:num w:numId="17">
    <w:abstractNumId w:val="12"/>
  </w:num>
  <w:num w:numId="18">
    <w:abstractNumId w:val="11"/>
  </w:num>
  <w:num w:numId="19">
    <w:abstractNumId w:val="3"/>
  </w:num>
  <w:num w:numId="20">
    <w:abstractNumId w:val="23"/>
  </w:num>
  <w:num w:numId="21">
    <w:abstractNumId w:val="17"/>
  </w:num>
  <w:num w:numId="22">
    <w:abstractNumId w:val="22"/>
  </w:num>
  <w:num w:numId="23">
    <w:abstractNumId w:val="4"/>
  </w:num>
  <w:num w:numId="24">
    <w:abstractNumId w:val="30"/>
  </w:num>
  <w:num w:numId="25">
    <w:abstractNumId w:val="29"/>
  </w:num>
  <w:num w:numId="26">
    <w:abstractNumId w:val="8"/>
  </w:num>
  <w:num w:numId="27">
    <w:abstractNumId w:val="6"/>
  </w:num>
  <w:num w:numId="28">
    <w:abstractNumId w:val="27"/>
  </w:num>
  <w:num w:numId="29">
    <w:abstractNumId w:val="2"/>
  </w:num>
  <w:num w:numId="30">
    <w:abstractNumId w:val="21"/>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3F386CB9"/>
    <w:rsid w:val="4F4D978B"/>
    <w:rsid w:val="6EDB66FB"/>
    <w:rsid w:val="7B3BF018"/>
    <w:rsid w:val="7DDFE345"/>
    <w:rsid w:val="975F2F30"/>
    <w:rsid w:val="BFAE82FD"/>
    <w:rsid w:val="F75F5614"/>
    <w:rsid w:val="FF77D45E"/>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657119C-6982-421D-8BA7-E74DEB70A7DA-3">
      <extobjdata type="E657119C-6982-421D-8BA7-E74DEB70A7DA" data="ewoJIkxhdGV4U3RyIiA6ICJcXHNxcnR7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Words>2630</Words>
  <Characters>2903</Characters>
  <TotalTime>0</TotalTime>
  <ScaleCrop>false</ScaleCrop>
  <LinksUpToDate>false</LinksUpToDate>
  <CharactersWithSpaces>2979</CharactersWithSpaces>
  <Application>WPS Office WWO_wpscloud_20260902094840-997daf6cd0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2026-09-14T09:18:00Z</dcterms:created>
  <dc:creator>Apache POI</dc:creator>
  <cp:lastModifiedBy>周秋时</cp:lastModifiedBy>
  <dcterms:modified xsi:type="dcterms:W3CDTF">2026-09-15T10:09:04Z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{"Label":"1","ContentProducer":"001191110102MACQD9K64010000","ProduceID":"7684822850624457686","ReservedCode1":"","ContentPropagator":"","PropagateID":"","ReservedCode2":""}</vt:lpwstr>
  </property>
  <property fmtid="{D5CDD505-2E9C-101B-9397-08002B2CF9AE}" pid="3" name="KSOTemplateDocerSaveRecord">
    <vt:lpwstr>eyJoZGlkIjoiNTJmMDY1ZTlmODgxN2RkNTdjMWExMDRkNDA2ZGZmNmYiLCJ1c2VySWQiOiIxMTQ1NzMxNjY5In0=</vt:lpwstr>
  </property>
  <property fmtid="{D5CDD505-2E9C-101B-9397-08002B2CF9AE}" pid="4" name="KSOProductBuildVer">
    <vt:lpwstr>2052-12.9.0.28579</vt:lpwstr>
  </property>
  <property fmtid="{D5CDD505-2E9C-101B-9397-08002B2CF9AE}" pid="5" name="ICV">
    <vt:lpwstr>0A100B612AD24173C0A8A86AEDDE34B1_43</vt:lpwstr>
  </property>
</Properties>
</file>