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LLM 评委多次采样次数方法学参考</w:t>
      </w:r>
    </w:p>
    <w:p>
      <w:r>
        <w:rPr>
          <w:rFonts w:ascii="楷体" w:hAnsi="楷体" w:eastAsia="楷体"/>
          <w:b w:val="0"/>
          <w:sz w:val="20"/>
        </w:rPr>
        <w:t>（针对论证树对齐实验的频次投票设计）</w:t>
      </w:r>
    </w:p>
    <w:p>
      <w:r>
        <w:rPr>
          <w:rFonts w:ascii="楷体" w:hAnsi="楷体" w:eastAsia="楷体"/>
          <w:b w:val="0"/>
          <w:sz w:val="20"/>
        </w:rPr>
        <w:t>2026-09-23</w:t>
      </w:r>
    </w:p>
    <w:p/>
    <w:p>
      <w:r>
        <w:rPr>
          <w:rFonts w:ascii="黑体" w:hAnsi="黑体" w:eastAsia="黑体"/>
          <w:b/>
          <w:sz w:val="30"/>
        </w:rPr>
        <w:t>一、问题背景</w:t>
      </w:r>
    </w:p>
    <w:p>
      <w:r>
        <w:rPr>
          <w:rFonts w:ascii="宋体" w:hAnsi="宋体" w:eastAsia="宋体"/>
          <w:b w:val="0"/>
          <w:sz w:val="22"/>
        </w:rPr>
        <w:t>本实验用 DeepSeek（temperature=0）作为评委，对人类基准论文与模型生成论文的论证树做逐对对齐（判断「哪条人类论点对应哪条模型论点」及其关系性质）。同一份输入在 T=0 下重复跑 6 遍，输出边数在 71–109 条之间摆动（最大偏差 54%），但有 54 条边在 6/6 全部出现（稳定核）。目前用频次投票筛 k≥4（4 票及以上）的边进入主指标。</w:t>
      </w:r>
    </w:p>
    <w:p>
      <w:r>
        <w:rPr>
          <w:rFonts w:ascii="宋体" w:hAnsi="宋体" w:eastAsia="宋体"/>
          <w:b w:val="0"/>
          <w:sz w:val="22"/>
        </w:rPr>
        <w:t>本报告检索相关文献，回答「跑几次合适」这一方法学问题。</w:t>
      </w:r>
    </w:p>
    <w:p>
      <w:r>
        <w:rPr>
          <w:rFonts w:ascii="黑体" w:hAnsi="黑体" w:eastAsia="黑体"/>
          <w:b/>
          <w:sz w:val="30"/>
        </w:rPr>
        <w:t>二、文献综述</w:t>
      </w:r>
    </w:p>
    <w:p>
      <w:r>
        <w:rPr>
          <w:rFonts w:ascii="黑体" w:hAnsi="黑体" w:eastAsia="黑体"/>
          <w:b/>
          <w:sz w:val="26"/>
        </w:rPr>
        <w:t>1. LLM 零温度不稳定性</w:t>
      </w:r>
    </w:p>
    <w:p>
      <w:r>
        <w:rPr>
          <w:rFonts w:ascii="宋体" w:hAnsi="宋体" w:eastAsia="宋体"/>
          <w:b w:val="0"/>
          <w:sz w:val="22"/>
        </w:rPr>
        <w:t>[Atil 等 2025] 让 5 个主流模型在「确定性设置」下各跑 10 次，准确率漂移最高 15%，最好与最差差距达 70%，无一模型能逐字一致。</w:t>
      </w:r>
    </w:p>
    <w:p>
      <w:r>
        <w:rPr>
          <w:rFonts w:ascii="宋体" w:hAnsi="宋体" w:eastAsia="宋体"/>
          <w:b w:val="0"/>
          <w:sz w:val="22"/>
        </w:rPr>
        <w:t>[Nicholson 2026] 实测 gpt-4o-mini 在 T=0 下约四分之一输出仍会变化，根因是 GPU 浮点求和顺序依赖批次大小、MoE 路由等基础设施因素——与本实验 54% 的边数偏差方向一致。结论：T=0 不保证逐位确定性，是基础设施层面的随机性，调温度无法消除。</w:t>
      </w:r>
    </w:p>
    <w:p>
      <w:r>
        <w:rPr>
          <w:rFonts w:ascii="黑体" w:hAnsi="黑体" w:eastAsia="黑体"/>
          <w:b/>
          <w:sz w:val="26"/>
        </w:rPr>
        <w:t>2. 多采样投票的经验次数</w:t>
      </w:r>
    </w:p>
    <w:p>
      <w:r>
        <w:rPr>
          <w:rFonts w:ascii="宋体" w:hAnsi="宋体" w:eastAsia="宋体"/>
          <w:b w:val="0"/>
          <w:sz w:val="22"/>
        </w:rPr>
        <w:t>[Wang 等 2022 / ICLR 2023] 是 self-consistency（自我一致性投票）的奠基工作：采样多条推理路径再多数投票，GSM8K 准确率从 56% 升到 74.4%。原文用 40 条，但社区共识是 5–10 条即达「甜点区」，超过 20 条收益递减。其统计直觉——正确路径会彼此收敛、错误路径各走各的——与本次频次投票逻辑同源。</w:t>
      </w:r>
    </w:p>
    <w:p>
      <w:r>
        <w:rPr>
          <w:rFonts w:ascii="黑体" w:hAnsi="黑体" w:eastAsia="黑体"/>
          <w:b/>
          <w:sz w:val="26"/>
        </w:rPr>
        <w:t>3. 文本标注一致性</w:t>
      </w:r>
    </w:p>
    <w:p>
      <w:r>
        <w:rPr>
          <w:rFonts w:ascii="宋体" w:hAnsi="宋体" w:eastAsia="宋体"/>
          <w:b w:val="0"/>
          <w:sz w:val="22"/>
        </w:rPr>
        <w:t>[Krippendorff 2011] 的 α 系数对任意标注者数量都适用且容忍缺失值，通常 2–3 名标注者即可给出可信估计。</w:t>
      </w:r>
    </w:p>
    <w:p>
      <w:r>
        <w:rPr>
          <w:rFonts w:ascii="宋体" w:hAnsi="宋体" w:eastAsia="宋体"/>
          <w:b w:val="0"/>
          <w:sz w:val="22"/>
        </w:rPr>
        <w:t>[Weber-Genzel 等 2024] VARIERR NLI 用多轮标注+解释分离「真分歧」与「标注错误」。</w:t>
      </w:r>
    </w:p>
    <w:p>
      <w:r>
        <w:rPr>
          <w:rFonts w:ascii="宋体" w:hAnsi="宋体" w:eastAsia="宋体"/>
          <w:b w:val="0"/>
          <w:sz w:val="22"/>
        </w:rPr>
        <w:t>[Plaza-del-Arco 等 2024] 发现把多个 LLM 当标注者聚合效果优于任何单模型——直接支持「6 次 DeepSeek 当 6 个标注者投票」的做法。</w:t>
      </w:r>
    </w:p>
    <w:p>
      <w:r>
        <w:rPr>
          <w:rFonts w:ascii="黑体" w:hAnsi="黑体" w:eastAsia="黑体"/>
          <w:b/>
          <w:sz w:val="26"/>
        </w:rPr>
        <w:t>4. 其他学科重复次数惯例</w:t>
      </w:r>
    </w:p>
    <w:p>
      <w:r>
        <w:rPr>
          <w:rFonts w:ascii="宋体" w:hAnsi="宋体" w:eastAsia="宋体"/>
          <w:b w:val="0"/>
          <w:sz w:val="22"/>
        </w:rPr>
        <w:t>深度强化学习 [Colas 等 2018] 显示 5 个种子常不足以稳定结论、推荐 10+；流行病学因果推断 [Schader 等 2024] 建议 20 个种子才能稳定双稳健估计；机器学习小样本比较 [Du 2025] 推荐配对多 seed + bootstrap（≥1000 次重采样）作为护栏。生物学 N=3、心理学 N=30+ 是领域惯例。</w:t>
      </w:r>
    </w:p>
    <w:p>
      <w:r>
        <w:rPr>
          <w:rFonts w:ascii="黑体" w:hAnsi="黑体" w:eastAsia="黑体"/>
          <w:b/>
          <w:sz w:val="30"/>
        </w:rPr>
        <w:t>三、跨学科重复次数对照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学科/场景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重复次数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深度强化学习种子数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5 常不足，推荐 10+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Colas 2018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流行病学因果推断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20 个种子才稳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Schader 2024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Bootstrap 重采样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≥1000 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统计惯例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生物学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N=3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领域惯例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心理学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N=30+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领域惯例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LLM self-consistency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5–10 甜点，40 饱和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Wang 2022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四、对本实验的建议</w:t>
      </w:r>
    </w:p>
    <w:p>
      <w:r>
        <w:rPr>
          <w:rFonts w:ascii="宋体" w:hAnsi="宋体" w:eastAsia="宋体"/>
          <w:b/>
          <w:sz w:val="22"/>
        </w:rPr>
        <w:t>1. 6 次偏少，补到 10 次。</w:t>
      </w:r>
    </w:p>
    <w:p>
      <w:r>
        <w:rPr>
          <w:rFonts w:ascii="宋体" w:hAnsi="宋体" w:eastAsia="宋体"/>
          <w:b w:val="0"/>
          <w:sz w:val="22"/>
        </w:rPr>
        <w:t xml:space="preserve">   成本只多 4 轮（约 +70% token），但跨过了 self-consistency 与 seed 文献共同指向的「10 次门槛」。6 次能初步揭示稳定核，但低于方法学共识。</w:t>
      </w:r>
    </w:p>
    <w:p>
      <w:r>
        <w:rPr>
          <w:rFonts w:ascii="宋体" w:hAnsi="宋体" w:eastAsia="宋体"/>
          <w:b/>
          <w:sz w:val="22"/>
        </w:rPr>
        <w:t>2. 阈值改 k≥6/10（60%）。</w:t>
      </w:r>
    </w:p>
    <w:p>
      <w:r>
        <w:rPr>
          <w:rFonts w:ascii="宋体" w:hAnsi="宋体" w:eastAsia="宋体"/>
          <w:b w:val="0"/>
          <w:sz w:val="22"/>
        </w:rPr>
        <w:t xml:space="preserve">   现行 k≥4/6 在 6 次下只允许 2 次反对，统计上偏松；扩到 10 次后改 k≥6，与 self-consistency 经验区间吻合。</w:t>
      </w:r>
    </w:p>
    <w:p>
      <w:r>
        <w:rPr>
          <w:rFonts w:ascii="宋体" w:hAnsi="宋体" w:eastAsia="宋体"/>
          <w:b/>
          <w:sz w:val="22"/>
        </w:rPr>
        <w:t>3. 54 条 6/6 全命中的稳定核是可靠锚点。</w:t>
      </w:r>
    </w:p>
    <w:p>
      <w:r>
        <w:rPr>
          <w:rFonts w:ascii="宋体" w:hAnsi="宋体" w:eastAsia="宋体"/>
          <w:b w:val="0"/>
          <w:sz w:val="22"/>
        </w:rPr>
        <w:t xml:space="preserve">   它天然满足 10 次下的 k≥6 阈值，不需要重跑就能复用。</w:t>
      </w:r>
    </w:p>
    <w:p>
      <w:r>
        <w:rPr>
          <w:rFonts w:ascii="宋体" w:hAnsi="宋体" w:eastAsia="宋体"/>
          <w:b/>
          <w:sz w:val="22"/>
        </w:rPr>
        <w:t>4. 若要加置信区间，</w:t>
      </w:r>
    </w:p>
    <w:p>
      <w:r>
        <w:rPr>
          <w:rFonts w:ascii="宋体" w:hAnsi="宋体" w:eastAsia="宋体"/>
          <w:b w:val="0"/>
          <w:sz w:val="22"/>
        </w:rPr>
        <w:t xml:space="preserve">   对该 10 次结果做 1000 次 bootstrap 重采样即可给出主指标的 95% CI。</w:t>
      </w:r>
    </w:p>
    <w:p>
      <w:r>
        <w:rPr>
          <w:rFonts w:ascii="宋体" w:hAnsi="宋体" w:eastAsia="宋体"/>
          <w:b/>
          <w:sz w:val="22"/>
        </w:rPr>
        <w:t>5. k≥4/6 思路本身与 majority voting 一致、合理——只是次数不够。</w:t>
      </w:r>
    </w:p>
    <w:p>
      <w:r>
        <w:rPr>
          <w:rFonts w:ascii="黑体" w:hAnsi="黑体" w:eastAsia="黑体"/>
          <w:b/>
          <w:sz w:val="30"/>
        </w:rPr>
        <w:t>五、核心结论</w:t>
      </w:r>
    </w:p>
    <w:p>
      <w:r>
        <w:rPr>
          <w:rFonts w:ascii="宋体" w:hAnsi="宋体" w:eastAsia="宋体"/>
          <w:b w:val="0"/>
          <w:sz w:val="22"/>
        </w:rPr>
        <w:t>• T=0 不稳是 LLM 的普遍现象，非 DeepSeek 独有（基础设施层随机性）。</w:t>
      </w:r>
    </w:p>
    <w:p>
      <w:r>
        <w:rPr>
          <w:rFonts w:ascii="宋体" w:hAnsi="宋体" w:eastAsia="宋体"/>
          <w:b w:val="0"/>
          <w:sz w:val="22"/>
        </w:rPr>
        <w:t>• 跨学科共识指向 10 次为最低可信门槛；6 次可看方向，10 次可定结论。</w:t>
      </w:r>
    </w:p>
    <w:p>
      <w:r>
        <w:rPr>
          <w:rFonts w:ascii="宋体" w:hAnsi="宋体" w:eastAsia="宋体"/>
          <w:b w:val="0"/>
          <w:sz w:val="22"/>
        </w:rPr>
        <w:t>• 频次投票（k≥6/10）思路与 self-consistency 同源，是被文献充分支持的做法。</w:t>
      </w:r>
    </w:p>
    <w:p>
      <w:r>
        <w:rPr>
          <w:rFonts w:ascii="宋体" w:hAnsi="宋体" w:eastAsia="宋体"/>
          <w:b w:val="0"/>
          <w:sz w:val="22"/>
        </w:rPr>
        <w:t>• 当前 54 条 6/6 稳定核可直接作为可靠锚点复用。</w:t>
      </w:r>
    </w:p>
    <w:p>
      <w:r>
        <w:br w:type="page"/>
      </w:r>
    </w:p>
    <w:p>
      <w:r>
        <w:rPr>
          <w:rFonts w:ascii="黑体" w:hAnsi="黑体" w:eastAsia="黑体"/>
          <w:b/>
          <w:sz w:val="30"/>
        </w:rPr>
        <w:t>参考文献</w:t>
      </w:r>
    </w:p>
    <w:p>
      <w:r>
        <w:rPr>
          <w:rFonts w:ascii="宋体" w:hAnsi="宋体" w:eastAsia="宋体"/>
          <w:b w:val="0"/>
          <w:sz w:val="18"/>
        </w:rPr>
        <w:t>[1] Atil, B. et al. (2025). Non-Determinism of "Deterministic" LLM Settings. arXiv:2408.04667.</w:t>
      </w:r>
    </w:p>
    <w:p>
      <w:r>
        <w:rPr>
          <w:rFonts w:ascii="宋体" w:hAnsi="宋体" w:eastAsia="宋体"/>
          <w:b w:val="0"/>
          <w:sz w:val="18"/>
        </w:rPr>
        <w:t>[2] Nicholson, L. (2026). Quantifying non-deterministic drift in large language models. arXiv:2601.19934.</w:t>
      </w:r>
    </w:p>
    <w:p>
      <w:r>
        <w:rPr>
          <w:rFonts w:ascii="宋体" w:hAnsi="宋体" w:eastAsia="宋体"/>
          <w:b w:val="0"/>
          <w:sz w:val="18"/>
        </w:rPr>
        <w:t>[3] Wang, X. et al. (2022/ICLR 2023). Self-Consistency Improves Chain of Thought Reasoning. arXiv:2203.11171.</w:t>
      </w:r>
    </w:p>
    <w:p>
      <w:r>
        <w:rPr>
          <w:rFonts w:ascii="宋体" w:hAnsi="宋体" w:eastAsia="宋体"/>
          <w:b w:val="0"/>
          <w:sz w:val="18"/>
        </w:rPr>
        <w:t>[4] Weber-Genzel, A. et al. (2024). VARIERR NLI: Separating Annotation Error from Human Label Variation. ACL 2024.</w:t>
      </w:r>
    </w:p>
    <w:p>
      <w:r>
        <w:rPr>
          <w:rFonts w:ascii="宋体" w:hAnsi="宋体" w:eastAsia="宋体"/>
          <w:b w:val="0"/>
          <w:sz w:val="18"/>
        </w:rPr>
        <w:t>[5] Plaza-del-Arco, S. et al. (2024). Wisdom of Instruction-Tuned Language Model Crowds. arXiv:2307.12973.</w:t>
      </w:r>
    </w:p>
    <w:p>
      <w:r>
        <w:rPr>
          <w:rFonts w:ascii="宋体" w:hAnsi="宋体" w:eastAsia="宋体"/>
          <w:b w:val="0"/>
          <w:sz w:val="18"/>
        </w:rPr>
        <w:t>[6] Krippendorff, K. (2011). Computing Krippendorff's Alpha-Reliability. 本文档.</w:t>
      </w:r>
    </w:p>
    <w:p>
      <w:r>
        <w:rPr>
          <w:rFonts w:ascii="宋体" w:hAnsi="宋体" w:eastAsia="宋体"/>
          <w:b w:val="0"/>
          <w:sz w:val="18"/>
        </w:rPr>
        <w:t>[7] Colas, C. et al. (2018). How Many Random Seeds? Statistical Power Analysis in Deep RL.</w:t>
      </w:r>
    </w:p>
    <w:p>
      <w:r>
        <w:rPr>
          <w:rFonts w:ascii="宋体" w:hAnsi="宋体" w:eastAsia="宋体"/>
          <w:b w:val="0"/>
          <w:sz w:val="18"/>
        </w:rPr>
        <w:t>[8] Schader, M. et al. (2024). Don't let your analysis go to seed. Epidemiology.</w:t>
      </w:r>
    </w:p>
    <w:p>
      <w:r>
        <w:rPr>
          <w:rFonts w:ascii="宋体" w:hAnsi="宋体" w:eastAsia="宋体"/>
          <w:b w:val="0"/>
          <w:sz w:val="18"/>
        </w:rPr>
        <w:t>[9] Du, J. (2025). When +1% Is Not Enough: A Paired Bootstrap Protocol. arXiv:2511.19794.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