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课题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 xml:space="preserve">课题名称 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人工智能在量化投资领域的应用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 xml:space="preserve">课题简介 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课题聚焦人工智能与金融交叉领域的前沿问题，致力于探索大语言模型（LLM）、多智能体系统（Agent）及深度学习在量化投资中的创新应用。传统量化研究较多依赖线性数理模型，在处理复杂市场情绪、非线性波动及多源异构信息时存在明显局限。本项目旨在突破这一瓶颈，围绕智能化投研与策略生成，构建兼具研究价值与应用潜力的量化分析框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本课题主要包括三个研究方向：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LLM-based Agent在金融领域的应用</w:t>
      </w:r>
      <w:r>
        <w:rPr>
          <w:rFonts w:eastAsia="等线" w:ascii="Arial" w:cs="Arial" w:hAnsi="Arial"/>
          <w:sz w:val="22"/>
        </w:rPr>
        <w:t>：构建具备金融认知逻辑的多智能体协同系统，用于自动解析海量非结构化数据（如长篇研报、财经新闻、公告），提取深层情绪特征，并推演复杂宏观事件到微观资产的映射链路。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金融时间序列预测</w:t>
      </w:r>
      <w:r>
        <w:rPr>
          <w:rFonts w:eastAsia="等线" w:ascii="Arial" w:cs="Arial" w:hAnsi="Arial"/>
          <w:sz w:val="22"/>
        </w:rPr>
        <w:t>：探索基于最新深度学习架构（如Transformer变体、状态空间模型等）的高频与低频量价数据建模，提升对资产收益率、波动率及市场微观结构的预测精度。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智能化量化策略研究</w:t>
      </w:r>
      <w:r>
        <w:rPr>
          <w:rFonts w:eastAsia="等线" w:ascii="Arial" w:cs="Arial" w:hAnsi="Arial"/>
          <w:sz w:val="22"/>
        </w:rPr>
        <w:t>：开展智能化量化策略研究，结合大模型的代码生成与逻辑推理能力，推动从 Alpha 因子挖掘、特征工程优化到策略回测与投资组合优化的全流程自动化闭环。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本项目为高度开放的交叉研究平台，力求在相关领域产出高水平学术论文或高实用价值的量化投研框架。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 xml:space="preserve">对申请学生的要求 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年级与专业</w:t>
      </w:r>
      <w:r>
        <w:rPr>
          <w:rFonts w:eastAsia="等线" w:ascii="Arial" w:cs="Arial" w:hAnsi="Arial"/>
          <w:sz w:val="22"/>
        </w:rPr>
        <w:t>：大二至大四本科生；计算机、人工智能、数据科学、数学、金融工程等相关交叉专业均可。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核心硬实力</w:t>
      </w:r>
      <w:r>
        <w:rPr>
          <w:rFonts w:eastAsia="等线" w:ascii="Arial" w:cs="Arial" w:hAnsi="Arial"/>
          <w:sz w:val="22"/>
        </w:rPr>
        <w:t>：具备扎实的数理基础和极强的代码动手能力（熟练使用 Python/PyTorch）。拥有 ACM/NOIP 等算法竞赛背景、Kaggle 等数据挖掘比赛经验、或大型数模竞赛获奖经历者将获得极大加分。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综合素养</w:t>
      </w:r>
      <w:r>
        <w:rPr>
          <w:rFonts w:eastAsia="等线" w:ascii="Arial" w:cs="Arial" w:hAnsi="Arial"/>
          <w:sz w:val="22"/>
        </w:rPr>
        <w:t>：申请者应具备较好的英文文献阅读能力，能够跟进相关顶会、顶刊与前沿技术进展。同时，希望你具有较强的自我驱动力、抗压能力与独立思考意识，不满足于机械执行任务，而愿意在不确定性中主动探索、持续迭代，并具备一定的科研抱负与长期投入意愿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05320">
    <w:lvl>
      <w:start w:val="1"/>
      <w:numFmt w:val="decimal"/>
      <w:suff w:val="tab"/>
      <w:lvlText w:val="%1."/>
      <w:rPr>
        <w:color w:val="3370ff"/>
      </w:rPr>
    </w:lvl>
  </w:abstractNum>
  <w:abstractNum w:abstractNumId="705321">
    <w:lvl>
      <w:start w:val="2"/>
      <w:numFmt w:val="decimal"/>
      <w:suff w:val="tab"/>
      <w:lvlText w:val="%1."/>
      <w:rPr>
        <w:color w:val="3370ff"/>
      </w:rPr>
    </w:lvl>
  </w:abstractNum>
  <w:abstractNum w:abstractNumId="705322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705320"/>
  </w:num>
  <w:num w:numId="2">
    <w:abstractNumId w:val="705321"/>
  </w:num>
  <w:num w:numId="3">
    <w:abstractNumId w:val="70532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2026-03-20T09:40:37Z</dcterms:created>
  <dc:creator>Apache POI</dc:creator>
</cp:coreProperties>
</file>