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Kronos模型针对性微调方案（适配高频量化与微观结构融合场景）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本文微调方案基于</w:t>
      </w:r>
      <w:r>
        <w:rPr>
          <w:rFonts w:eastAsia="等线" w:ascii="Arial" w:cs="Arial" w:hAnsi="Arial"/>
          <w:b w:val="true"/>
          <w:sz w:val="22"/>
        </w:rPr>
        <w:t>官方预训练Kronos时序基础模型</w:t>
      </w:r>
      <w:r>
        <w:rPr>
          <w:rFonts w:eastAsia="等线" w:ascii="Arial" w:cs="Arial" w:hAnsi="Arial"/>
          <w:sz w:val="22"/>
        </w:rPr>
        <w:t>，完全适配本研究「低频K线+高频Tick微观结构」的高频量化、风险预测双任务场景，区别于通用时序微调，重点解决金融高频噪声大、高低频特征错位、尾部风险样本稀疏、时序分布偏移四大核心问题，分为微调核心原则、三阶段分层微调流程、关键超参配置、损失函数设计、微调约束与降噪策略、微调评测标准六部分，可直接落地实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一、微调核心原则（适配金融高频场景）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权重保留优先</w:t>
      </w:r>
      <w:r>
        <w:rPr>
          <w:rFonts w:eastAsia="等线" w:ascii="Arial" w:cs="Arial" w:hAnsi="Arial"/>
          <w:sz w:val="22"/>
        </w:rPr>
        <w:t>：冻结Kronos原生底层时序通用表征，仅微调上层特征交互与预测层，保留模型预训练习得的长时序依赖、多资产通用规律，避免灾难性遗忘。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高低频解耦微调</w:t>
      </w:r>
      <w:r>
        <w:rPr>
          <w:rFonts w:eastAsia="等线" w:ascii="Arial" w:cs="Arial" w:hAnsi="Arial"/>
          <w:sz w:val="22"/>
        </w:rPr>
        <w:t>：原生Kronos适配低频K线，新增高频微观编码器采用全新初始化，仅做增量微调，不破坏原生主干能力。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多任务均衡微调</w:t>
      </w:r>
      <w:r>
        <w:rPr>
          <w:rFonts w:eastAsia="等线" w:ascii="Arial" w:cs="Arial" w:hAnsi="Arial"/>
          <w:sz w:val="22"/>
        </w:rPr>
        <w:t>：兼顾收益预测（回归任务）、风险预警（分类/分位数回归）、交易信号判别（分类任务），避免单一任务偏置。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高频噪声鲁棒性</w:t>
      </w:r>
      <w:r>
        <w:rPr>
          <w:rFonts w:eastAsia="等线" w:ascii="Arial" w:cs="Arial" w:hAnsi="Arial"/>
          <w:sz w:val="22"/>
        </w:rPr>
        <w:t>：针对金融Tick数据高噪声、非平稳特性，加入专属正则化约束，适配金融时序非稳态分布。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二、三阶段分层微调完整流程（核心落地步骤）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阶段一：通用金融K线微调（基座适配，1轮）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该阶段目标：将通用时序Kronos适配金融低频K线场景，修正模型对金融趋势、波动率、周期性的认知偏差，为后续高频融合打底。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微调设置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权重策略：冻结Kronos底层Patch嵌入层、前2层Transformer编码层，解冻顶层2-3层编码层与原生预测头。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训练数据：纯金融低频数据（1min/5min A股、美股、期货K线OHLCV+基础技术指标），过滤极端异常样本。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训练任务：单任务时序预测，以未来1-20步收益率、波动率预测为目标。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作用：消除通用时序预训练与金融时序的分布差异，让模型适配金融时序的趋势聚集、波动聚集特性。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阶段二：高频微观结构增量微调（核心创新，2-3轮）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该阶段目标：让模型学习Tick级订单流、盘口博弈、流动性特征，实现高低频特征融合，是本研究区别于原生Kronos的核心步骤。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微调设置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权重策略：冻结阶段一微调后的Kronos主干，</w:t>
      </w:r>
      <w:r>
        <w:rPr>
          <w:rFonts w:eastAsia="等线" w:ascii="Arial" w:cs="Arial" w:hAnsi="Arial"/>
          <w:b w:val="true"/>
          <w:sz w:val="22"/>
        </w:rPr>
        <w:t>全量微调新增高频微观编码器+跨频率交叉注意力融合模块</w:t>
      </w:r>
      <w:r>
        <w:rPr>
          <w:rFonts w:eastAsia="等线" w:ascii="Arial" w:cs="Arial" w:hAnsi="Arial"/>
          <w:sz w:val="22"/>
        </w:rPr>
        <w:t>，仅少量解冻主干顶层参数做适配。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训练数据：对齐后的高低频融合数据（K线序列+聚合后Tick微观结构特征：OFI、盘口价差、撤单率、瞬时波动率等）。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训练任务：双任务并行，低频K线趋势预测+高频微观流动性状态预测。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关键操作：采用渐进式训练，先训练高频编码器单独收敛，再开启跨注意力融合模块微调，避免高低频特征相互干扰。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阶段三：多任务联合精调（落地量化与风控，最终轮）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该阶段目标：适配量化交易、风险预警、反事实推理多任务，对齐实盘场景需求，输出可用的高频金融Kronos增强模型。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微调设置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权重策略：解冻全部新增模块+Kronos顶层参数，做全局小幅精调（小学习率）。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训练任务：四任务联合优化（收益回归预测、交易信号二分类、尾部风险分位数预测、风险特征嵌入对齐）。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样本均衡：对闪崩、流动性枯竭等</w:t>
      </w:r>
      <w:r>
        <w:rPr>
          <w:rFonts w:eastAsia="等线" w:ascii="Arial" w:cs="Arial" w:hAnsi="Arial"/>
          <w:b w:val="true"/>
          <w:sz w:val="22"/>
        </w:rPr>
        <w:t>极端风险小样本</w:t>
      </w:r>
      <w:r>
        <w:rPr>
          <w:rFonts w:eastAsia="等线" w:ascii="Arial" w:cs="Arial" w:hAnsi="Arial"/>
          <w:sz w:val="22"/>
        </w:rPr>
        <w:t>做加权采样，解决金融长尾样本失衡问题。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三、微调专属损失函数（金融场景定制）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摒弃原生Kronos单一MSE损失，采用多任务加权复合损失，适配量化与风控双需求：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=α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return</m:t>
              </m:r>
            </m:sub>
          </m:sSub>
          <m:r>
            <w:rPr>
              <w:rFonts w:ascii="Cambria Math" w:hAnsi="Cambria Math"/>
            </w:rPr>
            <m:t>+β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risk</m:t>
              </m:r>
            </m:sub>
          </m:sSub>
          <m:r>
            <w:rPr>
              <w:rFonts w:ascii="Cambria Math" w:hAnsi="Cambria Math"/>
            </w:rPr>
            <m:t>+γ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signal</m:t>
              </m:r>
            </m:sub>
          </m:sSub>
          <m:r>
            <w:rPr>
              <w:rFonts w:ascii="Cambria Math" w:hAnsi="Cambria Math"/>
            </w:rPr>
            <m:t>+δ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align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收益损失 \(L_{return}\)</w:t>
      </w:r>
      <w:r>
        <w:rPr>
          <w:rFonts w:eastAsia="等线" w:ascii="Arial" w:cs="Arial" w:hAnsi="Arial"/>
          <w:sz w:val="22"/>
        </w:rPr>
        <w:t>：平滑L1损失，适配金融收益率小幅波动特性，规避MSE对极端值过度敏感问题；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  <w:r>
        <w:rPr>
          <w:rFonts w:eastAsia="等线" w:ascii="Arial" w:cs="Arial" w:hAnsi="Arial"/>
          <w:b w:val="true"/>
          <w:sz w:val="22"/>
        </w:rPr>
        <w:t>风险损失 \(L_{risk}\)</w:t>
      </w:r>
      <w:r>
        <w:rPr>
          <w:rFonts w:eastAsia="等线" w:ascii="Arial" w:cs="Arial" w:hAnsi="Arial"/>
          <w:sz w:val="22"/>
        </w:rPr>
        <w:t>：分位数损失（Pinball Loss），精准拟合VaR、ES尾部风险分布；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交易信号损失 \(L_{signal}\)</w:t>
      </w:r>
      <w:r>
        <w:rPr>
          <w:rFonts w:eastAsia="等线" w:ascii="Arial" w:cs="Arial" w:hAnsi="Arial"/>
          <w:sz w:val="22"/>
        </w:rPr>
        <w:t>：带权重交叉熵损失，提升拐点、买卖点识别准确率；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特征对齐损失 \(L_{align}\)</w:t>
      </w:r>
      <w:r>
        <w:rPr>
          <w:rFonts w:eastAsia="等线" w:ascii="Arial" w:cs="Arial" w:hAnsi="Arial"/>
          <w:sz w:val="22"/>
        </w:rPr>
        <w:t>：高低频特征分布对齐损失，缩小K线全局特征与微观局部特征的语义鸿沟。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四、关键超参微调配置（可直接复用）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学习率分层</w:t>
      </w:r>
      <w:r>
        <w:rPr>
          <w:rFonts w:eastAsia="等线" w:ascii="Arial" w:cs="Arial" w:hAnsi="Arial"/>
          <w:sz w:val="22"/>
        </w:rPr>
        <w:t>：Kronos原生主干学习率 1e-5（小学习率，保护预训练权重）；新增高频模块学习率 5e-4（大学习率，快速收敛）；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批次与迭代</w:t>
      </w:r>
      <w:r>
        <w:rPr>
          <w:rFonts w:eastAsia="等线" w:ascii="Arial" w:cs="Arial" w:hAnsi="Arial"/>
          <w:sz w:val="22"/>
        </w:rPr>
        <w:t>：batch_size=32/64，epoch=15-25，采用早停策略（监控验证集夏普比率、风险AUC，防止过拟合）；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正则化配置</w:t>
      </w:r>
      <w:r>
        <w:rPr>
          <w:rFonts w:eastAsia="等线" w:ascii="Arial" w:cs="Arial" w:hAnsi="Arial"/>
          <w:sz w:val="22"/>
        </w:rPr>
        <w:t>：时序Dropout=0.15（抑制高频噪声）、权重衰减=1e-4、梯度裁剪（clip_norm=1.0），解决金融时序过拟合、梯度爆炸问题；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优化器</w:t>
      </w:r>
      <w:r>
        <w:rPr>
          <w:rFonts w:eastAsia="等线" w:ascii="Arial" w:cs="Arial" w:hAnsi="Arial"/>
          <w:sz w:val="22"/>
        </w:rPr>
        <w:t>：AdamW优化器，搭配余弦退火学习率衰减，适配时序模型微调收敛规律。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五、金融场景专属微调约束（核心优化点）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噪声过滤约束</w:t>
      </w:r>
      <w:r>
        <w:rPr>
          <w:rFonts w:eastAsia="等线" w:ascii="Arial" w:cs="Arial" w:hAnsi="Arial"/>
          <w:sz w:val="22"/>
        </w:rPr>
        <w:t>：对Tick高频数据做3σ异常值剔除、滑动窗口平滑，避免噪声主导微调梯度；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时序因果约束</w:t>
      </w:r>
      <w:r>
        <w:rPr>
          <w:rFonts w:eastAsia="等线" w:ascii="Arial" w:cs="Arial" w:hAnsi="Arial"/>
          <w:sz w:val="22"/>
        </w:rPr>
        <w:t>：微调过程严格屏蔽未来信息，采用因果掩码，杜绝金融时序数据泄露；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分布偏移约束</w:t>
      </w:r>
      <w:r>
        <w:rPr>
          <w:rFonts w:eastAsia="等线" w:ascii="Arial" w:cs="Arial" w:hAnsi="Arial"/>
          <w:sz w:val="22"/>
        </w:rPr>
        <w:t>：引入时序域对齐正则化，缓解不同行情区间（震荡、单边上涨、暴跌）的分布偏移问题；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范式适配微调</w:t>
      </w:r>
      <w:r>
        <w:rPr>
          <w:rFonts w:eastAsia="等线" w:ascii="Arial" w:cs="Arial" w:hAnsi="Arial"/>
          <w:sz w:val="22"/>
        </w:rPr>
        <w:t>：针对AR/Diffusion/TimeFlow三种生成范式，微调时适配对应损失逻辑，风险建模任务优先强化TimeFlow分支微调。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六、微调效果评测指标（区别于通用时序）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不只用MAE/RMSE数值指标，重点贴合金融实盘能力评测：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预测能力：收益率预测精度、分位数风险拟合误差；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量化能力：回测年化收益、夏普比率、最大回撤改善幅度；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风控能力：极端风险预警AUC、闪崩事件召回率；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消融对比：与原生Kronos、仅低频微调模型做全方位对比，验证高频微调增益。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2026-05-25T12:36:50Z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{"Label":"1","ContentProducer":"001191110102MACQD9K64010000","ProduceID":"7643807419190381520","ReservedCode1":"","ContentPropagator":"","PropagateID":"","ReservedCode2":""}</vt:lpwstr>
  </property>
</Properties>
</file>