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44808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НАУКИ И ВЫСШЕГО ОБРАЗОВАНИЯ РОССИЙСКОЙ ФЕДЕРАЦИИ</w:t>
      </w:r>
    </w:p>
    <w:p w14:paraId="135C4648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</w:t>
      </w:r>
    </w:p>
    <w:p w14:paraId="5600F6CC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7E08C440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«Северный (Арктический) федеральный университет имени М.В. Ломоносова»</w:t>
      </w:r>
    </w:p>
    <w:p w14:paraId="315DCAC7">
      <w:pPr>
        <w:tabs>
          <w:tab w:val="left" w:pos="4005"/>
        </w:tabs>
        <w:spacing w:line="240" w:lineRule="auto"/>
        <w:jc w:val="center"/>
        <w:rPr>
          <w:sz w:val="22"/>
        </w:rPr>
      </w:pPr>
    </w:p>
    <w:tbl>
      <w:tblPr>
        <w:tblStyle w:val="6"/>
        <w:tblW w:w="9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"/>
        <w:gridCol w:w="9257"/>
        <w:gridCol w:w="265"/>
      </w:tblGrid>
      <w:tr w14:paraId="0DA8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76391420">
            <w:pPr>
              <w:spacing w:after="200" w:line="276" w:lineRule="auto"/>
              <w:ind w:firstLine="0"/>
              <w:jc w:val="left"/>
              <w:rPr>
                <w:color w:val="000000"/>
                <w:sz w:val="24"/>
                <w:szCs w:val="20"/>
              </w:rPr>
            </w:pPr>
          </w:p>
        </w:tc>
        <w:tc>
          <w:tcPr>
            <w:tcW w:w="925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6C5F5AE">
            <w:pPr>
              <w:keepNext/>
              <w:spacing w:line="240" w:lineRule="auto"/>
              <w:ind w:firstLine="0"/>
              <w:rPr>
                <w:color w:val="000000"/>
                <w:sz w:val="24"/>
                <w:szCs w:val="20"/>
              </w:rPr>
            </w:pPr>
          </w:p>
          <w:p w14:paraId="736ED6F8">
            <w:pPr>
              <w:keepNext/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Высшая школа информационных технологий и автоматизированных систем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7E39E239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</w:tr>
      <w:tr w14:paraId="176A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1A3E4B39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  <w:tc>
          <w:tcPr>
            <w:tcW w:w="9257" w:type="dxa"/>
            <w:tcBorders>
              <w:top w:val="nil"/>
              <w:left w:val="nil"/>
              <w:bottom w:val="nil"/>
              <w:right w:val="nil"/>
            </w:tcBorders>
          </w:tcPr>
          <w:p w14:paraId="62D87850">
            <w:pPr>
              <w:keepNext/>
              <w:spacing w:line="240" w:lineRule="auto"/>
              <w:jc w:val="center"/>
              <w:rPr>
                <w:color w:val="000000"/>
                <w:sz w:val="18"/>
                <w:szCs w:val="20"/>
              </w:rPr>
            </w:pPr>
            <w:r>
              <w:rPr>
                <w:color w:val="000000"/>
                <w:sz w:val="18"/>
                <w:szCs w:val="20"/>
              </w:rPr>
              <w:t>(наименование высшей школы / филиала / института / колледжа)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258C6E27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</w:tr>
    </w:tbl>
    <w:p w14:paraId="71910856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63F9BC15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7EB160BE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  <w:r>
        <w:rPr>
          <w:rFonts w:eastAsia="Times New Roman" w:cs="Times New Roman"/>
          <w:b/>
          <w:sz w:val="30"/>
          <w:szCs w:val="30"/>
          <w:lang w:eastAsia="ru-RU"/>
        </w:rPr>
        <w:t>ОТЧЕТ</w:t>
      </w:r>
    </w:p>
    <w:p w14:paraId="75D96789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  <w:r>
        <w:rPr>
          <w:rFonts w:eastAsia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3065DF31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755"/>
        <w:gridCol w:w="7370"/>
      </w:tblGrid>
      <w:tr w14:paraId="64CC3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</w:tcPr>
          <w:p w14:paraId="4F302E5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37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66ED41E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Облачные технологии (модуль)</w:t>
            </w:r>
          </w:p>
        </w:tc>
      </w:tr>
      <w:tr w14:paraId="45969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96011C6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</w:tr>
      <w:tr w14:paraId="75D65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3D8F2CB1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38B25F4A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12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DFE5D52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124ED88D">
            <w:pPr>
              <w:spacing w:line="240" w:lineRule="auto"/>
              <w:ind w:firstLine="0"/>
              <w:jc w:val="center"/>
              <w:rPr>
                <w:rFonts w:ascii="Segoe UI" w:hAnsi="Segoe UI" w:cs="Segoe UI"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Развертывание </w:t>
            </w:r>
            <w:r>
              <w:rPr>
                <w:sz w:val="24"/>
                <w:szCs w:val="24"/>
                <w:lang w:val="en-US" w:eastAsia="ru-RU"/>
              </w:rPr>
              <w:t>CEPH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7B64A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9E75996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</w:tr>
    </w:tbl>
    <w:p w14:paraId="6039AE1E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1FD9A106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tbl>
      <w:tblPr>
        <w:tblStyle w:val="12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5811"/>
      </w:tblGrid>
      <w:tr w14:paraId="0FCC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7B031AC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1271597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94AC3DE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Выполнил обучающийся:</w:t>
            </w:r>
          </w:p>
          <w:p w14:paraId="68D007E7">
            <w:pPr>
              <w:spacing w:line="240" w:lineRule="auto"/>
              <w:ind w:firstLine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09F3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34FFE98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EE6DE84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1877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558BE31D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294BF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Направление подготовки:</w:t>
            </w:r>
          </w:p>
          <w:p w14:paraId="4F8E12E1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aps/>
                <w:color w:val="000000"/>
                <w:sz w:val="18"/>
                <w:szCs w:val="20"/>
              </w:rPr>
              <w:t>09.03.01 Информатика и вычислительная техника</w:t>
            </w:r>
          </w:p>
        </w:tc>
      </w:tr>
      <w:tr w14:paraId="2F5B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BAC16F9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3FA2B4C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5E67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6CB2D82B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41BED32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Курс</w:t>
            </w:r>
            <w:r>
              <w:rPr>
                <w:sz w:val="24"/>
                <w:szCs w:val="24"/>
                <w:lang w:val="en-US" w:eastAsia="ru-RU"/>
              </w:rPr>
              <w:t>:</w:t>
            </w:r>
            <w:r>
              <w:rPr>
                <w:sz w:val="24"/>
                <w:szCs w:val="24"/>
                <w:lang w:eastAsia="ru-RU"/>
              </w:rPr>
              <w:t xml:space="preserve"> 3</w:t>
            </w:r>
          </w:p>
        </w:tc>
      </w:tr>
      <w:tr w14:paraId="6C57F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412D879F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AB8BDD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Группа</w:t>
            </w:r>
            <w:r>
              <w:rPr>
                <w:sz w:val="24"/>
                <w:szCs w:val="24"/>
                <w:lang w:val="en-US" w:eastAsia="ru-RU"/>
              </w:rPr>
              <w:t xml:space="preserve">: </w:t>
            </w:r>
            <w:r>
              <w:rPr>
                <w:sz w:val="24"/>
                <w:szCs w:val="24"/>
                <w:lang w:eastAsia="ru-RU"/>
              </w:rPr>
              <w:t>151220</w:t>
            </w:r>
          </w:p>
        </w:tc>
      </w:tr>
      <w:tr w14:paraId="18D5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054E2423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1CD14E1">
            <w:pPr>
              <w:spacing w:line="240" w:lineRule="auto"/>
              <w:jc w:val="both"/>
              <w:rPr>
                <w:sz w:val="24"/>
                <w:szCs w:val="24"/>
                <w:lang w:eastAsia="ru-RU"/>
              </w:rPr>
            </w:pPr>
          </w:p>
          <w:p w14:paraId="53A6BE20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Руководитель:</w:t>
            </w:r>
          </w:p>
          <w:p w14:paraId="3ED8A8EB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</w:t>
            </w:r>
            <w:bookmarkStart w:id="35" w:name="_GoBack"/>
            <w:bookmarkEnd w:id="35"/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стем и информационной безопасности САФУ</w:t>
            </w:r>
          </w:p>
        </w:tc>
      </w:tr>
      <w:tr w14:paraId="0D38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3FF8F806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D4FE608">
            <w:pPr>
              <w:spacing w:line="240" w:lineRule="auto"/>
              <w:ind w:firstLine="0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4E2B335A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6A5DF19D">
      <w:pPr>
        <w:jc w:val="center"/>
        <w:rPr>
          <w:rFonts w:eastAsia="Times New Roman" w:cs="Times New Roman"/>
          <w:szCs w:val="28"/>
          <w:lang w:eastAsia="ru-RU"/>
        </w:rPr>
      </w:pPr>
    </w:p>
    <w:p w14:paraId="310AFFC9">
      <w:pPr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2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84"/>
        <w:gridCol w:w="3544"/>
        <w:gridCol w:w="425"/>
        <w:gridCol w:w="3118"/>
      </w:tblGrid>
      <w:tr w14:paraId="54EF6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E037D2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Отметка о зачете </w:t>
            </w:r>
          </w:p>
        </w:tc>
        <w:tc>
          <w:tcPr>
            <w:tcW w:w="284" w:type="dxa"/>
          </w:tcPr>
          <w:p w14:paraId="36E48D9E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919C16F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25" w:type="dxa"/>
          </w:tcPr>
          <w:p w14:paraId="6C1EB3C3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0E3242B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14:paraId="3D242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F6FF52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14:paraId="051BD22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759C9A8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(отметка прописью)</w:t>
            </w:r>
          </w:p>
        </w:tc>
        <w:tc>
          <w:tcPr>
            <w:tcW w:w="425" w:type="dxa"/>
          </w:tcPr>
          <w:p w14:paraId="6A9A014E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30EDEB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(дата)</w:t>
            </w:r>
          </w:p>
        </w:tc>
      </w:tr>
      <w:tr w14:paraId="294CD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03A825E">
            <w:pPr>
              <w:spacing w:line="240" w:lineRule="auto"/>
              <w:ind w:firstLine="0"/>
              <w:rPr>
                <w:sz w:val="24"/>
              </w:rPr>
            </w:pPr>
            <w:bookmarkStart w:id="0" w:name="_Hlk151798899"/>
            <w:r>
              <w:rPr>
                <w:sz w:val="24"/>
              </w:rPr>
              <w:t>Руководитель</w:t>
            </w:r>
          </w:p>
        </w:tc>
        <w:tc>
          <w:tcPr>
            <w:tcW w:w="284" w:type="dxa"/>
          </w:tcPr>
          <w:p w14:paraId="4FA819BA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EEFDCA4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425" w:type="dxa"/>
          </w:tcPr>
          <w:p w14:paraId="52F08B3E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11AB98A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color w:val="000000"/>
                <w:sz w:val="24"/>
                <w:szCs w:val="20"/>
              </w:rPr>
              <w:t>Тарасов А.П.</w:t>
            </w:r>
          </w:p>
        </w:tc>
      </w:tr>
      <w:tr w14:paraId="0666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327E9AF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14:paraId="2D3C902E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773F1A2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(подпись руководителя)</w:t>
            </w:r>
          </w:p>
        </w:tc>
        <w:tc>
          <w:tcPr>
            <w:tcW w:w="425" w:type="dxa"/>
          </w:tcPr>
          <w:p w14:paraId="060991D2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2BE115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bookmarkEnd w:id="0"/>
    </w:tbl>
    <w:p w14:paraId="2E0E5CA1">
      <w:pPr>
        <w:spacing w:line="240" w:lineRule="auto"/>
        <w:rPr>
          <w:rFonts w:eastAsia="Times New Roman" w:cs="Times New Roman"/>
          <w:sz w:val="22"/>
          <w:lang w:eastAsia="ru-RU"/>
        </w:rPr>
      </w:pPr>
    </w:p>
    <w:p w14:paraId="78045DEF">
      <w:pPr>
        <w:spacing w:line="240" w:lineRule="auto"/>
        <w:rPr>
          <w:rFonts w:eastAsia="Times New Roman" w:cs="Times New Roman"/>
          <w:lang w:eastAsia="ru-RU"/>
        </w:rPr>
      </w:pPr>
    </w:p>
    <w:p w14:paraId="5A9484AC">
      <w:pPr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0EB2953A">
      <w:pPr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74138445">
      <w:pPr>
        <w:jc w:val="center"/>
        <w:rPr>
          <w:rFonts w:eastAsia="Times New Roman" w:cs="Times New Roman"/>
          <w:sz w:val="4"/>
          <w:szCs w:val="26"/>
          <w:lang w:eastAsia="ru-RU"/>
        </w:rPr>
      </w:pPr>
    </w:p>
    <w:p w14:paraId="2BC63FBB">
      <w:pPr>
        <w:jc w:val="center"/>
        <w:rPr>
          <w:rFonts w:eastAsia="Times New Roman" w:cs="Times New Roman"/>
          <w:sz w:val="26"/>
          <w:szCs w:val="26"/>
          <w:lang w:val="en-US"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Архангельск 202</w:t>
      </w:r>
      <w:r>
        <w:rPr>
          <w:rFonts w:eastAsia="Times New Roman" w:cs="Times New Roman"/>
          <w:sz w:val="26"/>
          <w:szCs w:val="26"/>
          <w:lang w:val="en-US" w:eastAsia="ru-RU"/>
        </w:rPr>
        <w:t>5</w:t>
      </w:r>
    </w:p>
    <w:p w14:paraId="6F87BBBA">
      <w:pPr>
        <w:spacing w:after="160" w:line="259" w:lineRule="auto"/>
        <w:ind w:firstLine="0"/>
        <w:jc w:val="left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br w:type="page"/>
      </w:r>
    </w:p>
    <w:p w14:paraId="308403CA">
      <w:pPr>
        <w:spacing w:after="160" w:line="259" w:lineRule="auto"/>
        <w:ind w:firstLine="0"/>
        <w:jc w:val="center"/>
      </w:pPr>
      <w:r>
        <w:t>ЛИСТ ДЛЯ ЗАМЕЧАНИЙ</w:t>
      </w:r>
    </w:p>
    <w:p w14:paraId="127C98C9">
      <w:pPr>
        <w:spacing w:after="160" w:line="259" w:lineRule="auto"/>
        <w:ind w:firstLine="0"/>
        <w:jc w:val="left"/>
      </w:pPr>
      <w:r>
        <w:br w:type="page"/>
      </w:r>
    </w:p>
    <w:p w14:paraId="5F1E56AD">
      <w:pPr>
        <w:keepNext/>
        <w:keepLines/>
        <w:spacing w:after="240"/>
        <w:ind w:firstLine="0"/>
        <w:jc w:val="center"/>
        <w:outlineLvl w:val="0"/>
        <w:rPr>
          <w:rFonts w:eastAsia="Times New Roman" w:cs="Times New Roman"/>
          <w:caps/>
          <w:szCs w:val="28"/>
        </w:rPr>
      </w:pPr>
      <w:bookmarkStart w:id="1" w:name="_Toc179634823"/>
      <w:bookmarkStart w:id="2" w:name="_Toc184813554"/>
      <w:bookmarkStart w:id="3" w:name="_Toc8617"/>
      <w:bookmarkStart w:id="4" w:name="_Toc137391935"/>
      <w:bookmarkStart w:id="5" w:name="_Toc136445909"/>
      <w:bookmarkStart w:id="6" w:name="_Toc198029223"/>
      <w:r>
        <w:rPr>
          <w:rFonts w:eastAsia="Times New Roman" w:cs="Times New Roman"/>
          <w:caps/>
          <w:szCs w:val="28"/>
        </w:rPr>
        <w:t>Оглавление</w:t>
      </w:r>
      <w:bookmarkEnd w:id="1"/>
      <w:bookmarkEnd w:id="2"/>
      <w:bookmarkEnd w:id="3"/>
      <w:bookmarkEnd w:id="4"/>
      <w:bookmarkEnd w:id="5"/>
      <w:bookmarkEnd w:id="6"/>
    </w:p>
    <w:sdt>
      <w:sdtPr>
        <w:rPr>
          <w:rFonts w:hint="default" w:ascii="Times New Roman" w:hAnsi="Times New Roman" w:cs="Times New Roman" w:eastAsiaTheme="minorHAnsi"/>
          <w:color w:val="104862" w:themeColor="accent1" w:themeShade="BF"/>
          <w:kern w:val="2"/>
          <w:sz w:val="28"/>
          <w:szCs w:val="28"/>
          <w:lang w:eastAsia="zh-CN" w:bidi="hi-IN"/>
        </w:rPr>
        <w:id w:val="-102686282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Aptos" w:cs="Times New Roman"/>
          <w:color w:val="auto"/>
          <w:kern w:val="0"/>
          <w:sz w:val="28"/>
          <w:szCs w:val="28"/>
          <w:lang w:eastAsia="en-US" w:bidi="ar-SA"/>
        </w:rPr>
      </w:sdtEndPr>
      <w:sdtContent>
        <w:p w14:paraId="184C03CD">
          <w:pPr>
            <w:pStyle w:val="9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Style w:val="27"/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TOC \z \o "1-3" \u \h</w:instrText>
          </w:r>
          <w:r>
            <w:rPr>
              <w:rStyle w:val="27"/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_Toc28121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kern w:val="0"/>
              <w:sz w:val="28"/>
              <w:szCs w:val="28"/>
              <w:lang w:eastAsia="en-US" w:bidi="ar-SA"/>
            </w:rPr>
            <w:t>Цель работы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_Toc28121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023DEE5">
          <w:pPr>
            <w:pStyle w:val="9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_Toc18335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kern w:val="0"/>
              <w:sz w:val="28"/>
              <w:szCs w:val="28"/>
              <w:lang w:eastAsia="en-US" w:bidi="ar-SA"/>
            </w:rPr>
            <w:t xml:space="preserve">1 </w:t>
          </w:r>
          <w:r>
            <w:rPr>
              <w:rFonts w:hint="default" w:ascii="Times New Roman" w:hAnsi="Times New Roman" w:cs="Times New Roman"/>
              <w:bCs w:val="0"/>
              <w:kern w:val="0"/>
              <w:sz w:val="28"/>
              <w:szCs w:val="28"/>
              <w:lang w:val="ru-RU" w:eastAsia="en-US" w:bidi="ar-SA"/>
            </w:rPr>
            <w:t>П</w:t>
          </w:r>
          <w:r>
            <w:rPr>
              <w:rFonts w:hint="default" w:ascii="Times New Roman" w:hAnsi="Times New Roman" w:cs="Times New Roman"/>
              <w:bCs w:val="0"/>
              <w:kern w:val="0"/>
              <w:sz w:val="28"/>
              <w:szCs w:val="28"/>
              <w:lang w:eastAsia="en-US"/>
            </w:rPr>
            <w:t>рактическая реализация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_Toc18335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A208423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_Toc22150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1.1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П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одготовка окружения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_Toc22150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AD4C4D9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_Toc14295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1.2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нициализация кластера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_Toc14295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D37A7AC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_Toc454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1.3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становка вспомогательных компонентов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98332A5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_Toc21128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1.4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Р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асширение кластера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_Toc21128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475858D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_Toc11267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1.5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Н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астройка хранилищ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_Toc11267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1C13077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_Toc30204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1.6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заимодействие с openstack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_Toc30204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BBD1060">
          <w:pPr>
            <w:pStyle w:val="9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_Toc10183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</w:rPr>
            <w:t xml:space="preserve">2 </w: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ru-RU"/>
            </w:rPr>
            <w:t>К</w: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</w:rPr>
            <w:t>онтрольные вопросы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_Toc10183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07ECC93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_Toc27245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2.1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Ч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то такое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ceph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_Toc27245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2FE25FE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_Toc17620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2.2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Ч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ем отличается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ceph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от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nfs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_Toc17620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19A4014">
          <w:pPr>
            <w:pStyle w:val="10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_Toc3911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2.3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акие компоненты входят в ceph?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_Toc3911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B31337D">
          <w:pPr>
            <w:pStyle w:val="9"/>
            <w:tabs>
              <w:tab w:val="right" w:leader="dot" w:pos="9638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_Toc8424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t>Вывод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_Toc8424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BEF319F">
          <w:pPr>
            <w:pStyle w:val="9"/>
            <w:ind w:left="0" w:leftChars="0" w:firstLine="0" w:firstLineChars="0"/>
          </w:pPr>
          <w:r>
            <w:rPr>
              <w:rStyle w:val="27"/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bookmarkStart w:id="7" w:name="_Toc7787"/>
          <w:bookmarkEnd w:id="7"/>
        </w:p>
      </w:sdtContent>
    </w:sdt>
    <w:p w14:paraId="56AB0D31">
      <w:pPr>
        <w:pStyle w:val="2"/>
        <w:suppressAutoHyphens w:val="0"/>
        <w:spacing w:before="0" w:after="240" w:line="360" w:lineRule="auto"/>
        <w:jc w:val="center"/>
      </w:pPr>
      <w:bookmarkStart w:id="8" w:name="_Toc194146221"/>
      <w:r>
        <w:t xml:space="preserve"> </w:t>
      </w:r>
      <w:bookmarkStart w:id="9" w:name="_Toc28121"/>
    </w:p>
    <w:p w14:paraId="5EEC793D">
      <w:r>
        <w:br w:type="page"/>
      </w:r>
    </w:p>
    <w:p w14:paraId="4E017E11">
      <w:pPr>
        <w:pStyle w:val="2"/>
        <w:suppressAutoHyphens w:val="0"/>
        <w:spacing w:before="0" w:after="240" w:line="360" w:lineRule="auto"/>
        <w:jc w:val="center"/>
        <w:rPr>
          <w:b/>
          <w:bCs/>
        </w:rPr>
      </w:pPr>
      <w:r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  <w:t>Цель работы</w:t>
      </w:r>
      <w:bookmarkEnd w:id="8"/>
      <w:bookmarkEnd w:id="9"/>
    </w:p>
    <w:p w14:paraId="3EAF83E8">
      <w:r>
        <w:rPr>
          <w:rFonts w:hint="default"/>
        </w:rPr>
        <w:t>Приобретение практических навыков развертывания распределенной системы хранения данных Ceph</w:t>
      </w:r>
      <w:r>
        <w:t>.</w:t>
      </w:r>
    </w:p>
    <w:p w14:paraId="362FA22E">
      <w:pPr>
        <w:spacing w:after="160" w:line="259" w:lineRule="auto"/>
        <w:ind w:firstLine="0"/>
        <w:jc w:val="left"/>
      </w:pPr>
      <w:r>
        <w:br w:type="page"/>
      </w:r>
    </w:p>
    <w:p w14:paraId="0CAAC912">
      <w:pPr>
        <w:pStyle w:val="2"/>
        <w:suppressAutoHyphens w:val="0"/>
        <w:spacing w:before="0" w:after="240" w:line="360" w:lineRule="auto"/>
        <w:ind w:left="709" w:right="282"/>
        <w:jc w:val="both"/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</w:pPr>
      <w:bookmarkStart w:id="10" w:name="_Toc18335"/>
      <w:r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  <w:t xml:space="preserve">1 </w:t>
      </w:r>
      <w:r>
        <w:rPr>
          <w:rFonts w:hint="default" w:ascii="Times New Roman" w:hAnsi="Times New Roman"/>
          <w:b w:val="0"/>
          <w:bCs w:val="0"/>
          <w:caps/>
          <w:color w:val="auto"/>
          <w:kern w:val="0"/>
          <w:sz w:val="28"/>
          <w:szCs w:val="28"/>
          <w:lang w:eastAsia="en-US"/>
        </w:rPr>
        <w:t>Практическая реализация проекта</w:t>
      </w:r>
      <w:bookmarkEnd w:id="10"/>
    </w:p>
    <w:p w14:paraId="0E567C65">
      <w:pPr>
        <w:pStyle w:val="13"/>
        <w:numPr>
          <w:ilvl w:val="1"/>
          <w:numId w:val="2"/>
        </w:numPr>
        <w:bidi w:val="0"/>
        <w:rPr>
          <w:color w:val="auto"/>
          <w:sz w:val="28"/>
          <w:szCs w:val="28"/>
        </w:rPr>
      </w:pPr>
      <w:bookmarkStart w:id="11" w:name="_Toc22150"/>
      <w:r>
        <w:rPr>
          <w:rFonts w:hint="default"/>
          <w:color w:val="auto"/>
          <w:sz w:val="28"/>
          <w:szCs w:val="28"/>
        </w:rPr>
        <w:t>Подготовка окружения</w:t>
      </w:r>
      <w:bookmarkEnd w:id="11"/>
    </w:p>
    <w:p w14:paraId="0B7D8814">
      <w:pPr>
        <w:rPr>
          <w:rFonts w:hint="default"/>
        </w:rPr>
      </w:pPr>
      <w:r>
        <w:rPr>
          <w:rFonts w:hint="default"/>
        </w:rPr>
        <w:t xml:space="preserve">На рисунках 1-3 представлен процесс установки ключевых компонентов: </w:t>
      </w:r>
    </w:p>
    <w:p w14:paraId="38B30DD1">
      <w:pPr>
        <w:numPr>
          <w:ilvl w:val="0"/>
          <w:numId w:val="3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</w:rPr>
        <w:t>Пакетов Ceph (Рис. 1)</w:t>
      </w:r>
      <w:r>
        <w:rPr>
          <w:rFonts w:hint="default"/>
          <w:lang w:val="en-US"/>
        </w:rPr>
        <w:t>;</w:t>
      </w:r>
    </w:p>
    <w:p w14:paraId="359DD009">
      <w:pPr>
        <w:numPr>
          <w:ilvl w:val="0"/>
          <w:numId w:val="3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</w:rPr>
        <w:t>Утилиты cephadm (Рис. 2)</w:t>
      </w:r>
      <w:r>
        <w:rPr>
          <w:rFonts w:hint="default"/>
          <w:lang w:val="en-US"/>
        </w:rPr>
        <w:t>;</w:t>
      </w:r>
    </w:p>
    <w:p w14:paraId="357FCC83">
      <w:pPr>
        <w:numPr>
          <w:ilvl w:val="0"/>
          <w:numId w:val="3"/>
        </w:numPr>
        <w:tabs>
          <w:tab w:val="left" w:pos="420"/>
          <w:tab w:val="clear" w:pos="1260"/>
        </w:tabs>
        <w:ind w:left="1260" w:leftChars="0" w:hanging="420" w:firstLineChars="0"/>
      </w:pPr>
      <w:r>
        <w:rPr>
          <w:rFonts w:hint="default"/>
        </w:rPr>
        <w:t>SSH-сервера (Рис. 3).</w:t>
      </w:r>
    </w:p>
    <w:p w14:paraId="3B20AFDF">
      <w:pPr>
        <w:spacing w:before="240"/>
        <w:ind w:firstLine="0"/>
        <w:jc w:val="center"/>
        <w:rPr>
          <w:lang w:val="en-US"/>
        </w:rPr>
      </w:pPr>
      <w:r>
        <w:rPr>
          <w14:ligatures w14:val="standardContextual"/>
        </w:rPr>
        <w:drawing>
          <wp:inline distT="0" distB="0" distL="0" distR="0">
            <wp:extent cx="2619375" cy="907415"/>
            <wp:effectExtent l="0" t="0" r="9525" b="6985"/>
            <wp:docPr id="53017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620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7D59">
      <w:pPr>
        <w:pStyle w:val="28"/>
      </w:pPr>
      <w:r>
        <w:t xml:space="preserve">Рисунок 1 – </w:t>
      </w:r>
      <w:r>
        <w:rPr>
          <w:rFonts w:hint="default"/>
        </w:rPr>
        <w:t xml:space="preserve">Процесс установки </w:t>
      </w:r>
      <w:r>
        <w:rPr>
          <w:rFonts w:hint="default"/>
          <w:lang w:val="ru-RU"/>
        </w:rPr>
        <w:t>ПО</w:t>
      </w:r>
      <w:r>
        <w:rPr>
          <w:rFonts w:hint="default"/>
        </w:rPr>
        <w:t xml:space="preserve"> Ceph</w:t>
      </w:r>
    </w:p>
    <w:p w14:paraId="4934561D">
      <w:pPr>
        <w:spacing w:before="240"/>
        <w:ind w:firstLine="0"/>
        <w:jc w:val="center"/>
        <w:rPr>
          <w:lang w:val="en-US"/>
        </w:rPr>
      </w:pPr>
      <w:r>
        <w:rPr>
          <w14:ligatures w14:val="standardContextual"/>
        </w:rPr>
        <w:drawing>
          <wp:inline distT="0" distB="0" distL="0" distR="0">
            <wp:extent cx="3165475" cy="1656080"/>
            <wp:effectExtent l="0" t="0" r="15875" b="1270"/>
            <wp:docPr id="124794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4334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008">
      <w:pPr>
        <w:pStyle w:val="28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 xml:space="preserve"> – </w:t>
      </w:r>
      <w:r>
        <w:rPr>
          <w:rFonts w:hint="default"/>
        </w:rPr>
        <w:t>Инсталляция утилиты управления cephadm</w:t>
      </w:r>
    </w:p>
    <w:p w14:paraId="2554AC3F">
      <w:pPr>
        <w:spacing w:before="240"/>
        <w:ind w:firstLine="0"/>
        <w:jc w:val="center"/>
        <w:rPr>
          <w:lang w:val="en-US"/>
        </w:rPr>
      </w:pPr>
      <w:r>
        <w:rPr>
          <w14:ligatures w14:val="standardContextual"/>
        </w:rPr>
        <w:drawing>
          <wp:inline distT="0" distB="0" distL="0" distR="0">
            <wp:extent cx="3125470" cy="1927225"/>
            <wp:effectExtent l="0" t="0" r="17780" b="15875"/>
            <wp:docPr id="48371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1061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0A7C">
      <w:pPr>
        <w:pStyle w:val="28"/>
      </w:pPr>
      <w:r>
        <w:t xml:space="preserve">Рисунок 3 – </w:t>
      </w:r>
      <w:r>
        <w:rPr>
          <w:rFonts w:hint="default"/>
        </w:rPr>
        <w:t>Установка и настройка SSH-сервера</w:t>
      </w:r>
    </w:p>
    <w:p w14:paraId="072DE110"/>
    <w:p w14:paraId="0BF722E1">
      <w:r>
        <w:rPr>
          <w:rFonts w:hint="default"/>
        </w:rPr>
        <w:t>Рис. 4 демонстрирует настройку файла /etc/hosts, обязательную для всех узлов кластера</w:t>
      </w:r>
      <w:r>
        <w:t>.</w:t>
      </w:r>
    </w:p>
    <w:p w14:paraId="5DB3D688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2455545" cy="1372870"/>
            <wp:effectExtent l="0" t="0" r="1905" b="17780"/>
            <wp:docPr id="40383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5725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rcRect l="4755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3728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E846">
      <w:pPr>
        <w:pStyle w:val="28"/>
        <w:rPr>
          <w:lang w:val="en-US"/>
        </w:rPr>
      </w:pPr>
      <w:r>
        <w:t xml:space="preserve">Рисунок 4 – </w:t>
      </w:r>
      <w:bookmarkStart w:id="12" w:name="_Toc194146224"/>
      <w:r>
        <w:rPr>
          <w:lang w:val="ru-RU"/>
        </w:rPr>
        <w:t>К</w:t>
      </w:r>
      <w:r>
        <w:rPr>
          <w:rFonts w:hint="default"/>
        </w:rPr>
        <w:t>онфигурация файла hosts для кластерных узлов</w:t>
      </w:r>
    </w:p>
    <w:p w14:paraId="69F6B62F">
      <w:pPr>
        <w:pStyle w:val="13"/>
        <w:numPr>
          <w:ilvl w:val="1"/>
          <w:numId w:val="2"/>
        </w:numPr>
        <w:bidi w:val="0"/>
        <w:rPr>
          <w:color w:val="auto"/>
          <w:sz w:val="28"/>
          <w:szCs w:val="28"/>
          <w:lang w:val="en-US"/>
        </w:rPr>
      </w:pPr>
      <w:bookmarkStart w:id="13" w:name="_Toc14295"/>
      <w:r>
        <w:rPr>
          <w:rFonts w:hint="default"/>
          <w:color w:val="auto"/>
          <w:sz w:val="28"/>
          <w:szCs w:val="28"/>
        </w:rPr>
        <w:t>Инициализация кластера</w:t>
      </w:r>
      <w:bookmarkEnd w:id="12"/>
      <w:bookmarkEnd w:id="13"/>
    </w:p>
    <w:p w14:paraId="181943E7">
      <w:pPr>
        <w:rPr>
          <w:rFonts w:hint="default"/>
        </w:rPr>
      </w:pPr>
      <w:r>
        <w:rPr>
          <w:rFonts w:hint="default"/>
        </w:rPr>
        <w:t xml:space="preserve">Команда bootstrap (Рис. 5) выполняет: </w:t>
      </w:r>
    </w:p>
    <w:p w14:paraId="332ED4ED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</w:rPr>
        <w:t>Развертывание демонов мониторинга и управления</w:t>
      </w:r>
      <w:r>
        <w:rPr>
          <w:rFonts w:hint="default"/>
          <w:lang w:val="en-US"/>
        </w:rPr>
        <w:t>;</w:t>
      </w:r>
    </w:p>
    <w:p w14:paraId="647F96A7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</w:rPr>
        <w:t>Генерацию SSH-ключей для безопасного взаимодействия</w:t>
      </w:r>
      <w:r>
        <w:rPr>
          <w:rFonts w:hint="default"/>
          <w:lang w:val="en-US"/>
        </w:rPr>
        <w:t>;</w:t>
      </w:r>
    </w:p>
    <w:p w14:paraId="1A90B923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</w:pPr>
      <w:r>
        <w:rPr>
          <w:rFonts w:hint="default"/>
        </w:rPr>
        <w:t>Создание базовой конфигурации в /etc/ceph/ceph.conf</w:t>
      </w:r>
      <w:r>
        <w:t xml:space="preserve">. </w:t>
      </w:r>
    </w:p>
    <w:p w14:paraId="02D78C36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741420" cy="1844040"/>
            <wp:effectExtent l="0" t="0" r="0" b="3810"/>
            <wp:docPr id="205202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8483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155" cy="185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F8FC">
      <w:pPr>
        <w:pStyle w:val="28"/>
      </w:pPr>
      <w:r>
        <w:t xml:space="preserve">Рисунок 5 – </w:t>
      </w:r>
      <w:r>
        <w:rPr>
          <w:rFonts w:hint="default"/>
        </w:rPr>
        <w:t>Инициализация кластера Ceph с помощью bootstrap</w:t>
      </w:r>
    </w:p>
    <w:p w14:paraId="4A369C27">
      <w:r>
        <w:rPr>
          <w:rFonts w:hint="default"/>
        </w:rPr>
        <w:t>На Рис. 6-7 показаны веб-интерфейсы: форма авторизации и главная панель управления</w:t>
      </w:r>
      <w:r>
        <w:t>.</w:t>
      </w:r>
    </w:p>
    <w:p w14:paraId="6610F202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933190" cy="1978025"/>
            <wp:effectExtent l="0" t="0" r="10160" b="3175"/>
            <wp:docPr id="182020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8874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3535">
      <w:pPr>
        <w:pStyle w:val="28"/>
        <w:rPr>
          <w:lang w:val="en-US"/>
        </w:rPr>
      </w:pPr>
      <w:r>
        <w:t xml:space="preserve">Рисунок 6 – </w:t>
      </w:r>
      <w:r>
        <w:rPr>
          <w:rFonts w:hint="default"/>
        </w:rPr>
        <w:t>Интерфейс авторизации в веб-консоли Ceph</w:t>
      </w:r>
    </w:p>
    <w:p w14:paraId="3E67FEA8">
      <w:pPr>
        <w:pStyle w:val="28"/>
        <w:spacing w:before="240" w:after="0"/>
        <w:rPr>
          <w:lang w:val="en-US"/>
        </w:rPr>
      </w:pPr>
      <w:r>
        <w:rPr>
          <w14:ligatures w14:val="standardContextual"/>
        </w:rPr>
        <w:drawing>
          <wp:inline distT="0" distB="0" distL="0" distR="0">
            <wp:extent cx="3932555" cy="2191385"/>
            <wp:effectExtent l="0" t="0" r="10795" b="18415"/>
            <wp:docPr id="163271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3358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C99">
      <w:pPr>
        <w:pStyle w:val="28"/>
      </w:pPr>
      <w:r>
        <w:t xml:space="preserve">Рисунок 7 – </w:t>
      </w:r>
      <w:r>
        <w:rPr>
          <w:rFonts w:hint="default"/>
        </w:rPr>
        <w:t>Основная панель управления Ceph Dashboard</w:t>
      </w:r>
    </w:p>
    <w:p w14:paraId="0F1A1CD5">
      <w:pPr>
        <w:pStyle w:val="13"/>
        <w:bidi w:val="0"/>
        <w:rPr>
          <w:color w:val="auto"/>
          <w:sz w:val="28"/>
          <w:szCs w:val="28"/>
        </w:rPr>
      </w:pPr>
      <w:bookmarkStart w:id="14" w:name="_Toc454"/>
      <w:bookmarkStart w:id="15" w:name="_Toc194146225"/>
      <w:r>
        <w:rPr>
          <w:color w:val="auto"/>
          <w:sz w:val="28"/>
          <w:szCs w:val="28"/>
        </w:rPr>
        <w:t xml:space="preserve">1.3 </w:t>
      </w:r>
      <w:r>
        <w:rPr>
          <w:rFonts w:hint="default"/>
          <w:color w:val="auto"/>
          <w:sz w:val="28"/>
          <w:szCs w:val="28"/>
        </w:rPr>
        <w:t>Установка вспомогательных компонентов</w:t>
      </w:r>
      <w:bookmarkEnd w:id="14"/>
      <w:bookmarkEnd w:id="15"/>
    </w:p>
    <w:p w14:paraId="1D9BCBD3">
      <w:r>
        <w:rPr>
          <w:rFonts w:hint="default"/>
        </w:rPr>
        <w:t>Процесс установки ceph-common и проверка работоспособности отражены на Рис. 8-9</w:t>
      </w:r>
      <w:r>
        <w:t>.</w:t>
      </w:r>
    </w:p>
    <w:p w14:paraId="5F7C17F0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3211195" cy="664210"/>
            <wp:effectExtent l="0" t="0" r="8255" b="2540"/>
            <wp:docPr id="694116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6137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rcRect b="3253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664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5076">
      <w:pPr>
        <w:pStyle w:val="28"/>
        <w:rPr>
          <w:lang w:val="en-US"/>
        </w:rPr>
      </w:pPr>
      <w:r>
        <w:t xml:space="preserve">Рисунок 8 – </w:t>
      </w:r>
      <w:r>
        <w:rPr>
          <w:rFonts w:hint="default"/>
        </w:rPr>
        <w:t>Установка пакета ceph-common</w:t>
      </w:r>
    </w:p>
    <w:p w14:paraId="1F9BF8FC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2590800" cy="1891665"/>
            <wp:effectExtent l="0" t="0" r="0" b="0"/>
            <wp:docPr id="50770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132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4081" cy="190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D4B">
      <w:pPr>
        <w:pStyle w:val="28"/>
        <w:spacing w:before="240" w:after="0"/>
      </w:pPr>
      <w:r>
        <w:t xml:space="preserve">Рисунок 9 – </w:t>
      </w:r>
      <w:bookmarkStart w:id="16" w:name="_Toc194146226"/>
      <w:r>
        <w:rPr>
          <w:rFonts w:hint="default"/>
        </w:rPr>
        <w:t>Проверка работоспособности ceph-common</w:t>
      </w:r>
    </w:p>
    <w:p w14:paraId="5C90912C">
      <w:pPr>
        <w:pStyle w:val="13"/>
        <w:numPr>
          <w:ilvl w:val="1"/>
          <w:numId w:val="5"/>
        </w:numPr>
        <w:bidi w:val="0"/>
        <w:rPr>
          <w:rFonts w:hint="default"/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 </w:t>
      </w:r>
      <w:bookmarkStart w:id="17" w:name="_Toc21128"/>
      <w:r>
        <w:rPr>
          <w:rFonts w:hint="default"/>
          <w:color w:val="auto"/>
          <w:sz w:val="28"/>
          <w:szCs w:val="28"/>
        </w:rPr>
        <w:t>Расширение кластера</w:t>
      </w:r>
      <w:bookmarkEnd w:id="16"/>
      <w:bookmarkEnd w:id="17"/>
    </w:p>
    <w:p w14:paraId="20867A45">
      <w:r>
        <w:rPr>
          <w:rFonts w:hint="default"/>
        </w:rPr>
        <w:t>Копирование SSH-ключей на дополнительные хосты (Рис. 10)</w:t>
      </w:r>
      <w:r>
        <w:t>.</w:t>
      </w:r>
    </w:p>
    <w:p w14:paraId="49B9FB6B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3215640" cy="1330325"/>
            <wp:effectExtent l="0" t="0" r="3810" b="3175"/>
            <wp:docPr id="196760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032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4576" cy="13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76E7">
      <w:pPr>
        <w:pStyle w:val="28"/>
      </w:pPr>
      <w:r>
        <w:t xml:space="preserve">Рисунок 10 – </w:t>
      </w:r>
      <w:r>
        <w:rPr>
          <w:rFonts w:hint="default"/>
        </w:rPr>
        <w:t>Настройка SSH-ключей для доступа к узлам кластера</w:t>
      </w:r>
    </w:p>
    <w:p w14:paraId="06480217">
      <w:r>
        <w:rPr>
          <w:rFonts w:hint="default"/>
        </w:rPr>
        <w:t>Добавление узлов с меткой _admin (Рис. 11)</w:t>
      </w:r>
      <w:r>
        <w:t>.</w:t>
      </w:r>
    </w:p>
    <w:p w14:paraId="5C9DEBBB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4968240" cy="629920"/>
            <wp:effectExtent l="0" t="0" r="3810" b="0"/>
            <wp:docPr id="79507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7369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8455" cy="63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1ED7">
      <w:pPr>
        <w:pStyle w:val="28"/>
      </w:pPr>
      <w:r>
        <w:t xml:space="preserve">Рисунок 11 – </w:t>
      </w:r>
      <w:r>
        <w:rPr>
          <w:rFonts w:hint="default"/>
        </w:rPr>
        <w:t>Добавление хостов с административными правами</w:t>
      </w:r>
    </w:p>
    <w:p w14:paraId="4B1A92E4">
      <w:r>
        <w:rPr>
          <w:rFonts w:hint="default"/>
        </w:rPr>
        <w:t>Конфигурация сетевых параметров для мониторов (Рис. 12)</w:t>
      </w:r>
      <w:r>
        <w:t>.</w:t>
      </w:r>
    </w:p>
    <w:p w14:paraId="3B001924">
      <w:pPr>
        <w:pStyle w:val="28"/>
      </w:pPr>
      <w:r>
        <w:rPr>
          <w14:ligatures w14:val="standardContextual"/>
        </w:rPr>
        <w:drawing>
          <wp:inline distT="0" distB="0" distL="0" distR="0">
            <wp:extent cx="4712970" cy="211455"/>
            <wp:effectExtent l="0" t="0" r="0" b="0"/>
            <wp:docPr id="1247399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99434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rcRect t="31902"/>
                    <a:stretch>
                      <a:fillRect/>
                    </a:stretch>
                  </pic:blipFill>
                  <pic:spPr>
                    <a:xfrm>
                      <a:off x="0" y="0"/>
                      <a:ext cx="4849800" cy="2175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1E3A">
      <w:pPr>
        <w:pStyle w:val="28"/>
      </w:pPr>
      <w:r>
        <w:t xml:space="preserve">Рисунок 12 – </w:t>
      </w:r>
      <w:r>
        <w:rPr>
          <w:rFonts w:hint="default"/>
        </w:rPr>
        <w:t>Конфигурация сетевых параметров мониторинга</w:t>
      </w:r>
    </w:p>
    <w:p w14:paraId="0BC0A085">
      <w:pPr>
        <w:pStyle w:val="13"/>
        <w:bidi w:val="0"/>
        <w:rPr>
          <w:color w:val="auto"/>
          <w:sz w:val="28"/>
          <w:szCs w:val="28"/>
        </w:rPr>
      </w:pPr>
      <w:bookmarkStart w:id="18" w:name="_Toc194146227"/>
      <w:bookmarkStart w:id="19" w:name="_Toc11267"/>
      <w:r>
        <w:rPr>
          <w:color w:val="auto"/>
          <w:sz w:val="28"/>
          <w:szCs w:val="28"/>
        </w:rPr>
        <w:t xml:space="preserve">1.5 </w:t>
      </w:r>
      <w:r>
        <w:rPr>
          <w:rFonts w:hint="default"/>
          <w:color w:val="auto"/>
          <w:sz w:val="28"/>
          <w:szCs w:val="28"/>
        </w:rPr>
        <w:t>Настройка хранилищ</w:t>
      </w:r>
      <w:bookmarkEnd w:id="18"/>
      <w:bookmarkEnd w:id="19"/>
    </w:p>
    <w:p w14:paraId="69A59A0B">
      <w:r>
        <w:rPr>
          <w:rFonts w:hint="default"/>
        </w:rPr>
        <w:t>Анализ доступных дисков (Рис. 13)</w:t>
      </w:r>
      <w:r>
        <w:t>.</w:t>
      </w:r>
    </w:p>
    <w:p w14:paraId="0DC3978D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4198620" cy="922020"/>
            <wp:effectExtent l="0" t="0" r="0" b="0"/>
            <wp:docPr id="143482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20460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5487" cy="9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6577">
      <w:pPr>
        <w:pStyle w:val="28"/>
      </w:pPr>
      <w:r>
        <w:t>Рисунок 13 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Инвентаризация доступных устройств хранения</w:t>
      </w:r>
    </w:p>
    <w:p w14:paraId="50E68605">
      <w:r>
        <w:rPr>
          <w:rFonts w:hint="default"/>
        </w:rPr>
        <w:t>Интеграция хранилищ в кластер (Рис. 14)</w:t>
      </w:r>
      <w:r>
        <w:t>.</w:t>
      </w:r>
    </w:p>
    <w:p w14:paraId="44BAE4C0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3923665" cy="463550"/>
            <wp:effectExtent l="0" t="0" r="635" b="0"/>
            <wp:docPr id="31057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73663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2880" cy="4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77D9">
      <w:pPr>
        <w:pStyle w:val="28"/>
      </w:pPr>
      <w:r>
        <w:t xml:space="preserve">Рисунок 14 – </w:t>
      </w:r>
      <w:r>
        <w:rPr>
          <w:rFonts w:hint="default"/>
        </w:rPr>
        <w:t>Интеграция дисковых хранилищ в кластер</w:t>
      </w:r>
    </w:p>
    <w:p w14:paraId="1B1705AB">
      <w:r>
        <w:rPr>
          <w:rFonts w:hint="default"/>
        </w:rPr>
        <w:t>Назначение менеджеров и проверка состояния системы (Рис. 15-16)</w:t>
      </w:r>
      <w:r>
        <w:t>.</w:t>
      </w:r>
    </w:p>
    <w:p w14:paraId="3429179B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4480560" cy="324485"/>
            <wp:effectExtent l="0" t="0" r="0" b="0"/>
            <wp:docPr id="6842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252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871" cy="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6D2E">
      <w:pPr>
        <w:pStyle w:val="28"/>
      </w:pPr>
      <w:r>
        <w:t xml:space="preserve">Рисунок 15 – </w:t>
      </w:r>
      <w:r>
        <w:rPr>
          <w:rFonts w:hint="default"/>
        </w:rPr>
        <w:t>Развертывание сервисов управления кластером</w:t>
      </w:r>
    </w:p>
    <w:p w14:paraId="50FB3074">
      <w:pPr>
        <w:pStyle w:val="28"/>
      </w:pPr>
      <w:r>
        <w:t xml:space="preserve"> </w:t>
      </w:r>
      <w:r>
        <w:rPr>
          <w14:ligatures w14:val="standardContextual"/>
        </w:rPr>
        <w:drawing>
          <wp:inline distT="0" distB="0" distL="0" distR="0">
            <wp:extent cx="3276600" cy="13811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684" cy="13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F4E6">
      <w:pPr>
        <w:pStyle w:val="28"/>
      </w:pPr>
      <w:r>
        <w:t xml:space="preserve">Рисунок 16 – </w:t>
      </w:r>
      <w:r>
        <w:rPr>
          <w:rFonts w:hint="default"/>
        </w:rPr>
        <w:t>Проверка состояния кластера Ceph</w:t>
      </w:r>
    </w:p>
    <w:p w14:paraId="04623FDB">
      <w:pPr>
        <w:pStyle w:val="13"/>
        <w:bidi w:val="0"/>
        <w:rPr>
          <w:color w:val="auto"/>
          <w:sz w:val="28"/>
          <w:szCs w:val="28"/>
        </w:rPr>
      </w:pPr>
      <w:bookmarkStart w:id="20" w:name="_Toc30204"/>
      <w:r>
        <w:rPr>
          <w:color w:val="auto"/>
          <w:sz w:val="28"/>
          <w:szCs w:val="28"/>
        </w:rPr>
        <w:t>1.</w:t>
      </w:r>
      <w:r>
        <w:rPr>
          <w:rFonts w:hint="default"/>
          <w:color w:val="auto"/>
          <w:sz w:val="28"/>
          <w:szCs w:val="28"/>
        </w:rPr>
        <w:t>6 Взаимодействие с OpenStack</w:t>
      </w:r>
      <w:bookmarkEnd w:id="20"/>
    </w:p>
    <w:p w14:paraId="40370ECB">
      <w:pPr>
        <w:rPr>
          <w:rFonts w:hint="default"/>
        </w:rPr>
      </w:pPr>
      <w:r>
        <w:rPr>
          <w:rFonts w:hint="default"/>
        </w:rPr>
        <w:t xml:space="preserve">На Рис. 17-18 представлены: </w:t>
      </w:r>
    </w:p>
    <w:p w14:paraId="6C058264">
      <w:pPr>
        <w:numPr>
          <w:ilvl w:val="0"/>
          <w:numId w:val="6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</w:rPr>
        <w:t>Интерфейс аутентификации Ceph</w:t>
      </w:r>
      <w:r>
        <w:rPr>
          <w:rFonts w:hint="default"/>
          <w:lang w:val="en-US"/>
        </w:rPr>
        <w:t>;</w:t>
      </w:r>
    </w:p>
    <w:p w14:paraId="1D5E4288">
      <w:pPr>
        <w:numPr>
          <w:ilvl w:val="0"/>
          <w:numId w:val="6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</w:rPr>
        <w:t>Панель управления OpenStack с интегрированным хранилищем</w:t>
      </w:r>
      <w:r>
        <w:rPr>
          <w:rFonts w:hint="default"/>
          <w:lang w:val="ru-RU"/>
        </w:rPr>
        <w:t>.</w:t>
      </w:r>
    </w:p>
    <w:p w14:paraId="35A2EED0">
      <w:pPr>
        <w:spacing w:before="240"/>
        <w:ind w:firstLine="0"/>
        <w:jc w:val="center"/>
      </w:pPr>
      <w:r>
        <w:drawing>
          <wp:inline distT="0" distB="0" distL="0" distR="0">
            <wp:extent cx="3063240" cy="236982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90" r="41232"/>
                    <a:stretch>
                      <a:fillRect/>
                    </a:stretch>
                  </pic:blipFill>
                  <pic:spPr>
                    <a:xfrm>
                      <a:off x="0" y="0"/>
                      <a:ext cx="3068231" cy="237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3339">
      <w:pPr>
        <w:spacing w:before="240"/>
        <w:ind w:firstLine="0"/>
        <w:jc w:val="center"/>
        <w:rPr>
          <w:lang w:val="en-US"/>
        </w:rPr>
      </w:pPr>
      <w:r>
        <w:t xml:space="preserve">Рисунок 17 – </w:t>
      </w:r>
      <w:r>
        <w:rPr>
          <w:rFonts w:hint="default"/>
        </w:rPr>
        <w:t>Форма входа в систему управления Ceph</w:t>
      </w:r>
    </w:p>
    <w:p w14:paraId="2F723AFB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4053840" cy="1843405"/>
            <wp:effectExtent l="0" t="0" r="3810" b="4445"/>
            <wp:docPr id="37207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6848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4292" cy="18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F0C3">
      <w:pPr>
        <w:pStyle w:val="28"/>
      </w:pPr>
      <w:r>
        <w:t xml:space="preserve">Рисунок 18 – </w:t>
      </w:r>
      <w:r>
        <w:rPr>
          <w:rFonts w:hint="default"/>
        </w:rPr>
        <w:t>Интерфейс интеграции Ceph с OpenStack</w:t>
      </w:r>
    </w:p>
    <w:p w14:paraId="700441E3">
      <w:pPr>
        <w:spacing w:after="160" w:line="259" w:lineRule="auto"/>
        <w:ind w:firstLine="0"/>
        <w:jc w:val="left"/>
        <w:rPr>
          <w:szCs w:val="24"/>
        </w:rPr>
      </w:pPr>
      <w:r>
        <w:br w:type="page"/>
      </w:r>
    </w:p>
    <w:p w14:paraId="010D10CE">
      <w:pPr>
        <w:pStyle w:val="2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1" w:name="_Toc183448659"/>
      <w:bookmarkStart w:id="22" w:name="_Toc10183"/>
      <w:bookmarkStart w:id="23" w:name="_Toc194146228"/>
      <w:r>
        <w:rPr>
          <w:rFonts w:hint="default" w:ascii="Times New Roman" w:hAnsi="Times New Roman" w:cs="Times New Roman"/>
          <w:color w:val="auto"/>
          <w:sz w:val="28"/>
          <w:szCs w:val="28"/>
        </w:rPr>
        <w:t>2 КОНТРОЛЬНЫЕ ВОПРОСЫ</w:t>
      </w:r>
      <w:bookmarkEnd w:id="21"/>
      <w:bookmarkEnd w:id="22"/>
      <w:bookmarkEnd w:id="23"/>
    </w:p>
    <w:p w14:paraId="49580005">
      <w:pPr>
        <w:pStyle w:val="13"/>
        <w:bidi w:val="0"/>
        <w:rPr>
          <w:color w:val="auto"/>
          <w:sz w:val="28"/>
          <w:szCs w:val="28"/>
        </w:rPr>
      </w:pPr>
      <w:bookmarkStart w:id="24" w:name="_Toc27245"/>
      <w:bookmarkStart w:id="25" w:name="_Toc183448660"/>
      <w:bookmarkStart w:id="26" w:name="_Toc194146229"/>
      <w:r>
        <w:rPr>
          <w:color w:val="auto"/>
          <w:sz w:val="28"/>
          <w:szCs w:val="28"/>
        </w:rPr>
        <w:t xml:space="preserve">2.1 Что такое </w:t>
      </w:r>
      <w:r>
        <w:rPr>
          <w:color w:val="auto"/>
          <w:sz w:val="28"/>
          <w:szCs w:val="28"/>
          <w:lang w:val="en-US"/>
        </w:rPr>
        <w:t>CEPH</w:t>
      </w:r>
      <w:r>
        <w:rPr>
          <w:color w:val="auto"/>
          <w:sz w:val="28"/>
          <w:szCs w:val="28"/>
        </w:rPr>
        <w:t>?</w:t>
      </w:r>
      <w:bookmarkEnd w:id="24"/>
      <w:bookmarkEnd w:id="25"/>
      <w:bookmarkEnd w:id="26"/>
      <w:r>
        <w:rPr>
          <w:color w:val="auto"/>
          <w:sz w:val="28"/>
          <w:szCs w:val="28"/>
        </w:rPr>
        <w:t xml:space="preserve"> </w:t>
      </w:r>
    </w:p>
    <w:p w14:paraId="38B2545C">
      <w:pPr>
        <w:bidi w:val="0"/>
        <w:rPr>
          <w:rFonts w:hint="default"/>
        </w:rPr>
      </w:pPr>
      <w:bookmarkStart w:id="27" w:name="_Toc194146230"/>
      <w:bookmarkStart w:id="28" w:name="_Toc183448661"/>
      <w:r>
        <w:rPr>
          <w:rFonts w:hint="default"/>
        </w:rPr>
        <w:t xml:space="preserve">Ceph представляет собой масштабируемую распределенную систему хранения данных с открытым исходным кодом. Ключевые особенности платформы включают: </w:t>
      </w:r>
    </w:p>
    <w:p w14:paraId="3E23ED99">
      <w:pPr>
        <w:numPr>
          <w:ilvl w:val="0"/>
          <w:numId w:val="6"/>
        </w:numPr>
        <w:bidi w:val="0"/>
        <w:ind w:left="1260" w:leftChars="0" w:hanging="420" w:firstLineChars="0"/>
        <w:rPr>
          <w:rFonts w:hint="default"/>
        </w:rPr>
      </w:pPr>
      <w:r>
        <w:rPr>
          <w:rFonts w:hint="default"/>
        </w:rPr>
        <w:t>Высокую отказоустойчивость за сч</w:t>
      </w:r>
      <w:r>
        <w:rPr>
          <w:rFonts w:hint="default"/>
          <w:lang w:val="ru-RU"/>
        </w:rPr>
        <w:t>ё</w:t>
      </w:r>
      <w:r>
        <w:rPr>
          <w:rFonts w:hint="default"/>
        </w:rPr>
        <w:t>т распределенной архитектуры</w:t>
      </w:r>
      <w:r>
        <w:rPr>
          <w:rFonts w:hint="default"/>
          <w:lang w:val="en-US"/>
        </w:rPr>
        <w:t>;</w:t>
      </w:r>
    </w:p>
    <w:p w14:paraId="751046A4">
      <w:pPr>
        <w:numPr>
          <w:ilvl w:val="0"/>
          <w:numId w:val="6"/>
        </w:numPr>
        <w:bidi w:val="0"/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Поддержку трех основных моделей хранения: </w:t>
      </w:r>
    </w:p>
    <w:p w14:paraId="5EC8DB97">
      <w:pPr>
        <w:numPr>
          <w:ilvl w:val="0"/>
          <w:numId w:val="7"/>
        </w:numPr>
        <w:tabs>
          <w:tab w:val="left" w:pos="420"/>
          <w:tab w:val="clear" w:pos="1680"/>
        </w:tabs>
        <w:bidi w:val="0"/>
        <w:ind w:left="1680" w:leftChars="0" w:hanging="420" w:firstLineChars="0"/>
        <w:rPr>
          <w:rFonts w:hint="default"/>
        </w:rPr>
      </w:pPr>
      <w:r>
        <w:rPr>
          <w:rFonts w:hint="default"/>
        </w:rPr>
        <w:t>RADOS (объектное хранилище)</w:t>
      </w:r>
      <w:r>
        <w:rPr>
          <w:rFonts w:hint="default"/>
          <w:lang w:val="en-US"/>
        </w:rPr>
        <w:t>;</w:t>
      </w:r>
    </w:p>
    <w:p w14:paraId="28FBF55B">
      <w:pPr>
        <w:numPr>
          <w:ilvl w:val="0"/>
          <w:numId w:val="7"/>
        </w:numPr>
        <w:tabs>
          <w:tab w:val="left" w:pos="420"/>
          <w:tab w:val="clear" w:pos="1680"/>
        </w:tabs>
        <w:bidi w:val="0"/>
        <w:ind w:left="1680" w:leftChars="0" w:hanging="420" w:firstLineChars="0"/>
        <w:rPr>
          <w:rFonts w:hint="default"/>
        </w:rPr>
      </w:pPr>
      <w:r>
        <w:rPr>
          <w:rFonts w:hint="default"/>
        </w:rPr>
        <w:t>RBD (блочное хранилище)</w:t>
      </w:r>
      <w:r>
        <w:rPr>
          <w:rFonts w:hint="default"/>
          <w:lang w:val="en-US"/>
        </w:rPr>
        <w:t>;</w:t>
      </w:r>
    </w:p>
    <w:p w14:paraId="5F73068C">
      <w:pPr>
        <w:numPr>
          <w:ilvl w:val="0"/>
          <w:numId w:val="7"/>
        </w:numPr>
        <w:tabs>
          <w:tab w:val="left" w:pos="420"/>
          <w:tab w:val="clear" w:pos="1680"/>
        </w:tabs>
        <w:bidi w:val="0"/>
        <w:ind w:left="1680" w:leftChars="0" w:hanging="420" w:firstLineChars="0"/>
        <w:rPr>
          <w:rFonts w:hint="default"/>
        </w:rPr>
      </w:pPr>
      <w:r>
        <w:rPr>
          <w:rFonts w:hint="default"/>
        </w:rPr>
        <w:t>CephFS (файловая система)</w:t>
      </w:r>
      <w:r>
        <w:rPr>
          <w:rFonts w:hint="default"/>
          <w:lang w:val="en-US"/>
        </w:rPr>
        <w:t>;</w:t>
      </w:r>
    </w:p>
    <w:p w14:paraId="12279CE8">
      <w:pPr>
        <w:numPr>
          <w:ilvl w:val="0"/>
          <w:numId w:val="8"/>
        </w:numPr>
        <w:tabs>
          <w:tab w:val="left" w:pos="420"/>
          <w:tab w:val="clear" w:pos="1260"/>
        </w:tabs>
        <w:bidi w:val="0"/>
        <w:ind w:left="1260" w:leftChars="0" w:hanging="420" w:firstLineChars="0"/>
        <w:rPr>
          <w:rFonts w:hint="default"/>
        </w:rPr>
      </w:pPr>
      <w:r>
        <w:rPr>
          <w:rFonts w:hint="default"/>
        </w:rPr>
        <w:t>Автоматическую ребалансировку данных</w:t>
      </w:r>
      <w:r>
        <w:rPr>
          <w:rFonts w:hint="default"/>
          <w:lang w:val="en-US"/>
        </w:rPr>
        <w:t>;</w:t>
      </w:r>
    </w:p>
    <w:p w14:paraId="2BB95E51">
      <w:pPr>
        <w:numPr>
          <w:ilvl w:val="0"/>
          <w:numId w:val="8"/>
        </w:numPr>
        <w:tabs>
          <w:tab w:val="left" w:pos="420"/>
          <w:tab w:val="clear" w:pos="1260"/>
        </w:tabs>
        <w:bidi w:val="0"/>
        <w:ind w:left="1260" w:leftChars="0" w:hanging="420" w:firstLineChars="0"/>
      </w:pPr>
      <w:r>
        <w:rPr>
          <w:rFonts w:hint="default"/>
        </w:rPr>
        <w:t>Линейную масштабируемость производительности</w:t>
      </w:r>
      <w:r>
        <w:t>.</w:t>
      </w:r>
    </w:p>
    <w:p w14:paraId="5903B03C">
      <w:pPr>
        <w:pStyle w:val="13"/>
        <w:bidi w:val="0"/>
        <w:rPr>
          <w:color w:val="auto"/>
          <w:sz w:val="28"/>
          <w:szCs w:val="28"/>
        </w:rPr>
      </w:pPr>
      <w:bookmarkStart w:id="29" w:name="_Toc17620"/>
      <w:r>
        <w:rPr>
          <w:color w:val="auto"/>
          <w:sz w:val="28"/>
          <w:szCs w:val="28"/>
        </w:rPr>
        <w:t xml:space="preserve">2.2 Чем отличается </w:t>
      </w:r>
      <w:r>
        <w:rPr>
          <w:color w:val="auto"/>
          <w:sz w:val="28"/>
          <w:szCs w:val="28"/>
          <w:lang w:val="en-US"/>
        </w:rPr>
        <w:t>CEPH</w:t>
      </w:r>
      <w:r>
        <w:rPr>
          <w:color w:val="auto"/>
          <w:sz w:val="28"/>
          <w:szCs w:val="28"/>
        </w:rPr>
        <w:t xml:space="preserve"> от </w:t>
      </w:r>
      <w:r>
        <w:rPr>
          <w:color w:val="auto"/>
          <w:sz w:val="28"/>
          <w:szCs w:val="28"/>
          <w:lang w:val="en-US"/>
        </w:rPr>
        <w:t>NFS</w:t>
      </w:r>
      <w:r>
        <w:rPr>
          <w:color w:val="auto"/>
          <w:sz w:val="28"/>
          <w:szCs w:val="28"/>
        </w:rPr>
        <w:t>?</w:t>
      </w:r>
      <w:bookmarkEnd w:id="27"/>
      <w:bookmarkEnd w:id="28"/>
      <w:bookmarkEnd w:id="29"/>
      <w:r>
        <w:rPr>
          <w:color w:val="auto"/>
          <w:sz w:val="28"/>
          <w:szCs w:val="28"/>
        </w:rPr>
        <w:t xml:space="preserve"> </w:t>
      </w:r>
    </w:p>
    <w:p w14:paraId="7C998978">
      <w:pPr>
        <w:rPr>
          <w:rFonts w:hint="default"/>
        </w:rPr>
      </w:pPr>
      <w:r>
        <w:t>C</w:t>
      </w:r>
      <w:r>
        <w:rPr>
          <w:rFonts w:hint="default"/>
        </w:rPr>
        <w:t xml:space="preserve">eph — это современная распределённая система хранения, поддерживающая объектное (RADOS), блочное (RBD) и файловое (CephFS) хранение с автоматической репликацией и масштабированием. NFS — простой протокол для файлового обмена в локальных сетях без встроенной отказоустойчивости. </w:t>
      </w:r>
    </w:p>
    <w:p w14:paraId="7377F37D">
      <w:pPr>
        <w:rPr>
          <w:rFonts w:hint="default"/>
        </w:rPr>
      </w:pPr>
      <w:r>
        <w:rPr>
          <w:rFonts w:hint="default"/>
        </w:rPr>
        <w:t xml:space="preserve">Ключевые различия: </w:t>
      </w:r>
    </w:p>
    <w:p w14:paraId="68D11BAC">
      <w:pPr>
        <w:numPr>
          <w:ilvl w:val="0"/>
          <w:numId w:val="9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</w:rPr>
        <w:t>Ceph распределённый и отказоустойчивый, NFS — централизованный</w:t>
      </w:r>
      <w:r>
        <w:rPr>
          <w:rFonts w:hint="default"/>
          <w:lang w:val="en-US"/>
        </w:rPr>
        <w:t>;</w:t>
      </w:r>
    </w:p>
    <w:p w14:paraId="5021FA0F">
      <w:pPr>
        <w:numPr>
          <w:ilvl w:val="0"/>
          <w:numId w:val="9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</w:rPr>
        <w:t>Ceph поддерживает все типы хранения, NFS — только файлы</w:t>
      </w:r>
      <w:r>
        <w:rPr>
          <w:rFonts w:hint="default"/>
          <w:lang w:val="en-US"/>
        </w:rPr>
        <w:t>;</w:t>
      </w:r>
    </w:p>
    <w:p w14:paraId="7CDCC39D">
      <w:pPr>
        <w:numPr>
          <w:ilvl w:val="0"/>
          <w:numId w:val="9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</w:rPr>
        <w:t>Ceph сложнее в настройке, но масштабируется лучше</w:t>
      </w:r>
      <w:r>
        <w:rPr>
          <w:rFonts w:hint="default"/>
          <w:lang w:val="en-US"/>
        </w:rPr>
        <w:t>;</w:t>
      </w:r>
    </w:p>
    <w:p w14:paraId="4E439294">
      <w:pPr>
        <w:numPr>
          <w:ilvl w:val="0"/>
          <w:numId w:val="9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</w:rPr>
        <w:t>NFS подходит для простых задач, Ceph — для кластеров и облаков</w:t>
      </w:r>
      <w:r>
        <w:rPr>
          <w:rFonts w:hint="default"/>
          <w:lang w:val="en-US"/>
        </w:rPr>
        <w:t>.</w:t>
      </w:r>
    </w:p>
    <w:p w14:paraId="02E18854">
      <w:r>
        <w:rPr>
          <w:rFonts w:hint="default"/>
        </w:rPr>
        <w:t>Ceph предпочтителен для серьёзных проектов, NFS — для простых файловых серверов.</w:t>
      </w:r>
    </w:p>
    <w:p w14:paraId="7D8CDB90">
      <w:pPr>
        <w:pStyle w:val="13"/>
        <w:bidi w:val="0"/>
        <w:rPr>
          <w:color w:val="auto"/>
          <w:sz w:val="28"/>
          <w:szCs w:val="28"/>
        </w:rPr>
      </w:pPr>
      <w:bookmarkStart w:id="30" w:name="_Toc3911"/>
      <w:bookmarkStart w:id="31" w:name="_Toc183448662"/>
      <w:bookmarkStart w:id="32" w:name="_Toc194146231"/>
      <w:r>
        <w:rPr>
          <w:color w:val="auto"/>
          <w:sz w:val="28"/>
          <w:szCs w:val="28"/>
        </w:rPr>
        <w:t>2.3 Какие компоненты входят в CEPH?</w:t>
      </w:r>
      <w:bookmarkEnd w:id="30"/>
      <w:bookmarkEnd w:id="31"/>
      <w:bookmarkEnd w:id="32"/>
      <w:r>
        <w:rPr>
          <w:color w:val="auto"/>
          <w:sz w:val="28"/>
          <w:szCs w:val="28"/>
        </w:rPr>
        <w:t xml:space="preserve"> </w:t>
      </w:r>
    </w:p>
    <w:p w14:paraId="60DECE18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Основные сервисы платформы: </w:t>
      </w:r>
    </w:p>
    <w:p w14:paraId="2A2EA468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default"/>
        </w:rPr>
        <w:t xml:space="preserve">Мониторы (MON) </w:t>
      </w:r>
    </w:p>
    <w:p w14:paraId="570A2161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Отслеживают состояние кластера</w:t>
      </w:r>
      <w:r>
        <w:rPr>
          <w:rFonts w:hint="default"/>
          <w:lang w:val="en-US"/>
        </w:rPr>
        <w:t>;</w:t>
      </w:r>
    </w:p>
    <w:p w14:paraId="4B0A9B68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Хранят карту размещения объектов</w:t>
      </w:r>
      <w:r>
        <w:rPr>
          <w:rFonts w:hint="default"/>
          <w:lang w:val="en-US"/>
        </w:rPr>
        <w:t>;</w:t>
      </w:r>
    </w:p>
    <w:p w14:paraId="0F8AC0C4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Обеспечивают консенсус через протокол Paxos</w:t>
      </w:r>
      <w:r>
        <w:rPr>
          <w:rFonts w:hint="default"/>
          <w:lang w:val="en-US"/>
        </w:rPr>
        <w:t>.</w:t>
      </w:r>
    </w:p>
    <w:p w14:paraId="365B1BBF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default"/>
        </w:rPr>
        <w:t xml:space="preserve">Устройства хранения (OSD) </w:t>
      </w:r>
    </w:p>
    <w:p w14:paraId="23AF98A5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Хранят данные в виде объектов</w:t>
      </w:r>
      <w:r>
        <w:rPr>
          <w:rFonts w:hint="default"/>
          <w:lang w:val="en-US"/>
        </w:rPr>
        <w:t>;</w:t>
      </w:r>
    </w:p>
    <w:p w14:paraId="6D6C6CA1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Обеспечивают репликацию</w:t>
      </w:r>
      <w:r>
        <w:rPr>
          <w:rFonts w:hint="default"/>
          <w:lang w:val="en-US"/>
        </w:rPr>
        <w:t>;</w:t>
      </w:r>
    </w:p>
    <w:p w14:paraId="43650F55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Выполняют восстановление данных</w:t>
      </w:r>
      <w:r>
        <w:rPr>
          <w:rFonts w:hint="default"/>
          <w:lang w:val="en-US"/>
        </w:rPr>
        <w:t>.</w:t>
      </w:r>
    </w:p>
    <w:p w14:paraId="67DEFA1F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default"/>
        </w:rPr>
        <w:t xml:space="preserve">Менеджеры (MGR) </w:t>
      </w:r>
    </w:p>
    <w:p w14:paraId="6E6A0436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Предоставляют API для управления</w:t>
      </w:r>
      <w:r>
        <w:rPr>
          <w:rFonts w:hint="default"/>
          <w:lang w:val="en-US"/>
        </w:rPr>
        <w:t>;</w:t>
      </w:r>
    </w:p>
    <w:p w14:paraId="1C1D3B2F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Собирают метрики производительности</w:t>
      </w:r>
      <w:r>
        <w:rPr>
          <w:rFonts w:hint="default"/>
          <w:lang w:val="en-US"/>
        </w:rPr>
        <w:t>;</w:t>
      </w:r>
    </w:p>
    <w:p w14:paraId="42CED374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Интегрируются с инструментами мониторинга</w:t>
      </w:r>
      <w:r>
        <w:rPr>
          <w:rFonts w:hint="default"/>
          <w:lang w:val="en-US"/>
        </w:rPr>
        <w:t>.</w:t>
      </w:r>
    </w:p>
    <w:p w14:paraId="3D1DF654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default"/>
        </w:rPr>
        <w:t xml:space="preserve">Сервисы доступа </w:t>
      </w:r>
    </w:p>
    <w:p w14:paraId="437A4473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RADOS Gateway (RGW): REST API (S3/Swift)</w:t>
      </w:r>
      <w:r>
        <w:rPr>
          <w:rFonts w:hint="default"/>
          <w:lang w:val="en-US"/>
        </w:rPr>
        <w:t>;</w:t>
      </w:r>
    </w:p>
    <w:p w14:paraId="0022DE41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RBD: блочное хранилище для ВМ/контейнеров</w:t>
      </w:r>
      <w:r>
        <w:rPr>
          <w:rFonts w:hint="default"/>
          <w:lang w:val="en-US"/>
        </w:rPr>
        <w:t>;</w:t>
      </w:r>
    </w:p>
    <w:p w14:paraId="2F1B60A8">
      <w:pPr>
        <w:numPr>
          <w:ilvl w:val="1"/>
          <w:numId w:val="10"/>
        </w:numPr>
        <w:bidi w:val="0"/>
        <w:ind w:left="845" w:leftChars="0" w:hanging="425" w:firstLineChars="0"/>
      </w:pPr>
      <w:r>
        <w:rPr>
          <w:rFonts w:hint="default"/>
        </w:rPr>
        <w:t>CephFS: POSIX-совместимая файловая система</w:t>
      </w:r>
      <w:r>
        <w:t>.</w:t>
      </w:r>
    </w:p>
    <w:p w14:paraId="6B843F47">
      <w:pPr>
        <w:spacing w:after="160" w:line="259" w:lineRule="auto"/>
        <w:ind w:firstLine="0"/>
        <w:jc w:val="left"/>
      </w:pPr>
      <w:r>
        <w:br w:type="page"/>
      </w:r>
    </w:p>
    <w:p w14:paraId="6342E73B">
      <w:pPr>
        <w:keepNext/>
        <w:keepLines/>
        <w:spacing w:after="240"/>
        <w:ind w:firstLine="0"/>
        <w:jc w:val="center"/>
        <w:outlineLvl w:val="0"/>
        <w:rPr>
          <w:rFonts w:eastAsia="Times New Roman" w:cs="Times New Roman"/>
          <w:caps/>
          <w:szCs w:val="28"/>
        </w:rPr>
      </w:pPr>
      <w:bookmarkStart w:id="33" w:name="_Toc8424"/>
      <w:bookmarkStart w:id="34" w:name="_Toc194146232"/>
      <w:r>
        <w:rPr>
          <w:rFonts w:eastAsia="Times New Roman" w:cs="Times New Roman"/>
          <w:caps/>
          <w:szCs w:val="28"/>
        </w:rPr>
        <w:t>Вывод</w:t>
      </w:r>
      <w:bookmarkEnd w:id="33"/>
      <w:bookmarkEnd w:id="34"/>
    </w:p>
    <w:p w14:paraId="77B54367">
      <w:pPr>
        <w:ind w:left="708"/>
        <w:rPr>
          <w:rFonts w:hint="default"/>
        </w:rPr>
      </w:pPr>
      <w:r>
        <w:rPr>
          <w:rFonts w:hint="default"/>
        </w:rPr>
        <w:t xml:space="preserve">В ходе выполнения работы были успешно освоены: </w:t>
      </w:r>
    </w:p>
    <w:p w14:paraId="0A61011B">
      <w:pPr>
        <w:numPr>
          <w:ilvl w:val="0"/>
          <w:numId w:val="11"/>
        </w:numPr>
        <w:tabs>
          <w:tab w:val="clear" w:pos="425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 xml:space="preserve">Методы </w:t>
      </w:r>
      <w:r>
        <w:rPr>
          <w:rFonts w:hint="default"/>
          <w:lang w:val="en-US"/>
        </w:rPr>
        <w:t>развёртывания</w:t>
      </w:r>
      <w:r>
        <w:rPr>
          <w:rFonts w:hint="default"/>
        </w:rPr>
        <w:t xml:space="preserve"> кластера Ceph</w:t>
      </w:r>
      <w:r>
        <w:rPr>
          <w:rFonts w:hint="default"/>
          <w:lang w:val="en-US"/>
        </w:rPr>
        <w:t>;</w:t>
      </w:r>
    </w:p>
    <w:p w14:paraId="29BB1553">
      <w:pPr>
        <w:numPr>
          <w:ilvl w:val="0"/>
          <w:numId w:val="11"/>
        </w:numPr>
        <w:tabs>
          <w:tab w:val="clear" w:pos="425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>Принципы интеграции компонентов хранения</w:t>
      </w:r>
      <w:r>
        <w:rPr>
          <w:rFonts w:hint="default"/>
          <w:lang w:val="en-US"/>
        </w:rPr>
        <w:t>;</w:t>
      </w:r>
    </w:p>
    <w:p w14:paraId="3E970F37">
      <w:pPr>
        <w:numPr>
          <w:ilvl w:val="0"/>
          <w:numId w:val="11"/>
        </w:numPr>
        <w:tabs>
          <w:tab w:val="clear" w:pos="425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>Техники управления распределенными системами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</w:t>
      </w:r>
    </w:p>
    <w:p w14:paraId="4620DA88">
      <w:pPr>
        <w:ind w:left="708"/>
        <w:rPr>
          <w:rFonts w:hint="default"/>
        </w:rPr>
      </w:pPr>
      <w:r>
        <w:rPr>
          <w:rFonts w:hint="default"/>
          <w:lang w:val="en-US"/>
        </w:rPr>
        <w:t>Приобретённые</w:t>
      </w:r>
      <w:r>
        <w:rPr>
          <w:rFonts w:hint="default"/>
        </w:rPr>
        <w:t xml:space="preserve"> навыки позволяют: </w:t>
      </w:r>
    </w:p>
    <w:p w14:paraId="47D1F3AA">
      <w:pPr>
        <w:numPr>
          <w:ilvl w:val="0"/>
          <w:numId w:val="12"/>
        </w:numPr>
        <w:tabs>
          <w:tab w:val="left" w:pos="420"/>
          <w:tab w:val="clear" w:pos="2100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 xml:space="preserve">Проектировать отказоустойчивые системы хранения </w:t>
      </w:r>
    </w:p>
    <w:p w14:paraId="7FFEF838">
      <w:pPr>
        <w:numPr>
          <w:ilvl w:val="0"/>
          <w:numId w:val="12"/>
        </w:numPr>
        <w:tabs>
          <w:tab w:val="left" w:pos="420"/>
          <w:tab w:val="clear" w:pos="2100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 xml:space="preserve">Эффективно масштабировать инфраструктуру </w:t>
      </w:r>
    </w:p>
    <w:p w14:paraId="4462150E">
      <w:pPr>
        <w:numPr>
          <w:ilvl w:val="0"/>
          <w:numId w:val="12"/>
        </w:numPr>
        <w:tabs>
          <w:tab w:val="left" w:pos="420"/>
          <w:tab w:val="clear" w:pos="2100"/>
        </w:tabs>
        <w:ind w:left="2100" w:leftChars="0" w:hanging="420" w:firstLineChars="0"/>
        <w:rPr>
          <w:rFonts w:hint="default"/>
        </w:rPr>
      </w:pPr>
      <w:r>
        <w:rPr>
          <w:rFonts w:hint="default"/>
        </w:rPr>
        <w:t xml:space="preserve">Оптимизировать работу с большими </w:t>
      </w:r>
      <w:r>
        <w:rPr>
          <w:rFonts w:hint="default"/>
          <w:lang w:val="en-US"/>
        </w:rPr>
        <w:t>объёмами</w:t>
      </w:r>
      <w:r>
        <w:rPr>
          <w:rFonts w:hint="default"/>
        </w:rPr>
        <w:t xml:space="preserve"> данных </w:t>
      </w:r>
    </w:p>
    <w:p w14:paraId="77CF108E">
      <w:pPr>
        <w:ind w:left="708"/>
      </w:pPr>
      <w:r>
        <w:rPr>
          <w:rFonts w:hint="default"/>
        </w:rPr>
        <w:t>Полученный опыт имеет существенное значение для работы с современными системами хранения в production-средах и облачных инфраструктурах</w:t>
      </w:r>
      <w:r>
        <w:t>.</w:t>
      </w:r>
    </w:p>
    <w:p w14:paraId="413DE93A"/>
    <w:sectPr>
      <w:footerReference r:id="rId5" w:type="default"/>
      <w:pgSz w:w="11906" w:h="16838"/>
      <w:pgMar w:top="1134" w:right="567" w:bottom="1134" w:left="1701" w:header="709" w:footer="709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40913799"/>
      <w:docPartObj>
        <w:docPartGallery w:val="autotext"/>
      </w:docPartObj>
    </w:sdtPr>
    <w:sdtContent>
      <w:p w14:paraId="3ED7AF5D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0F49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D3F06"/>
    <w:multiLevelType w:val="singleLevel"/>
    <w:tmpl w:val="86CD3F06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1">
    <w:nsid w:val="90C341BD"/>
    <w:multiLevelType w:val="singleLevel"/>
    <w:tmpl w:val="90C341BD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2">
    <w:nsid w:val="AAB8985B"/>
    <w:multiLevelType w:val="singleLevel"/>
    <w:tmpl w:val="AAB8985B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3">
    <w:nsid w:val="B9D14409"/>
    <w:multiLevelType w:val="singleLevel"/>
    <w:tmpl w:val="B9D144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D26286E"/>
    <w:multiLevelType w:val="multilevel"/>
    <w:tmpl w:val="ED2628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ED51CA6A"/>
    <w:multiLevelType w:val="singleLevel"/>
    <w:tmpl w:val="ED51CA6A"/>
    <w:lvl w:ilvl="0" w:tentative="0">
      <w:start w:val="1"/>
      <w:numFmt w:val="bullet"/>
      <w:lvlText w:val="•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</w:abstractNum>
  <w:abstractNum w:abstractNumId="6">
    <w:nsid w:val="31E6AD22"/>
    <w:multiLevelType w:val="singleLevel"/>
    <w:tmpl w:val="31E6AD22"/>
    <w:lvl w:ilvl="0" w:tentative="0">
      <w:start w:val="1"/>
      <w:numFmt w:val="bullet"/>
      <w:lvlText w:val="○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7">
    <w:nsid w:val="3C2B7495"/>
    <w:multiLevelType w:val="singleLevel"/>
    <w:tmpl w:val="3C2B7495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8">
    <w:nsid w:val="42B988C6"/>
    <w:multiLevelType w:val="singleLevel"/>
    <w:tmpl w:val="42B988C6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9">
    <w:nsid w:val="4552280E"/>
    <w:multiLevelType w:val="multilevel"/>
    <w:tmpl w:val="4552280E"/>
    <w:lvl w:ilvl="0" w:tentative="0">
      <w:start w:val="1"/>
      <w:numFmt w:val="decimal"/>
      <w:pStyle w:val="19"/>
      <w:lvlText w:val="%1."/>
      <w:lvlJc w:val="left"/>
      <w:pPr>
        <w:ind w:left="360" w:hanging="360"/>
      </w:pPr>
    </w:lvl>
    <w:lvl w:ilvl="1" w:tentative="0">
      <w:start w:val="1"/>
      <w:numFmt w:val="decimal"/>
      <w:pStyle w:val="21"/>
      <w:lvlText w:val="%1.%2."/>
      <w:lvlJc w:val="left"/>
      <w:pPr>
        <w:ind w:left="792" w:hanging="432"/>
      </w:pPr>
    </w:lvl>
    <w:lvl w:ilvl="2" w:tentative="0">
      <w:start w:val="1"/>
      <w:numFmt w:val="decimal"/>
      <w:pStyle w:val="23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98420C7"/>
    <w:multiLevelType w:val="multilevel"/>
    <w:tmpl w:val="798420C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7D91736D"/>
    <w:multiLevelType w:val="multilevel"/>
    <w:tmpl w:val="7D91736D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149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9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447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6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709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82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971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1200" w:hanging="2160"/>
      </w:pPr>
      <w:rPr>
        <w:rFonts w:hint="default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2"/>
  </w:num>
  <w:num w:numId="5">
    <w:abstractNumId w:val="11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01C"/>
    <w:rsid w:val="00043A7C"/>
    <w:rsid w:val="0009201C"/>
    <w:rsid w:val="00121A57"/>
    <w:rsid w:val="00201FFA"/>
    <w:rsid w:val="00263B3C"/>
    <w:rsid w:val="003718A2"/>
    <w:rsid w:val="003C0B4C"/>
    <w:rsid w:val="003D74E2"/>
    <w:rsid w:val="004F0237"/>
    <w:rsid w:val="004F3EB3"/>
    <w:rsid w:val="0050551A"/>
    <w:rsid w:val="00526670"/>
    <w:rsid w:val="006540A4"/>
    <w:rsid w:val="00925368"/>
    <w:rsid w:val="00AE01A3"/>
    <w:rsid w:val="00B42639"/>
    <w:rsid w:val="00BD4A7F"/>
    <w:rsid w:val="00CB3981"/>
    <w:rsid w:val="00CF51B5"/>
    <w:rsid w:val="00D1513B"/>
    <w:rsid w:val="00E32FCB"/>
    <w:rsid w:val="00EC17DE"/>
    <w:rsid w:val="00F973C4"/>
    <w:rsid w:val="3BD24A8C"/>
    <w:rsid w:val="4C9D7328"/>
    <w:rsid w:val="562E7B27"/>
    <w:rsid w:val="5E56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uppressAutoHyphens/>
      <w:spacing w:before="240" w:line="240" w:lineRule="auto"/>
      <w:ind w:firstLine="0"/>
      <w:jc w:val="left"/>
      <w:outlineLvl w:val="0"/>
    </w:pPr>
    <w:rPr>
      <w:rFonts w:cs="Mangal" w:asciiTheme="majorHAnsi" w:hAnsiTheme="majorHAnsi" w:eastAsiaTheme="majorEastAsia"/>
      <w:color w:val="104862" w:themeColor="accent1" w:themeShade="BF"/>
      <w:kern w:val="2"/>
      <w:sz w:val="32"/>
      <w:szCs w:val="29"/>
      <w:lang w:eastAsia="zh-CN" w:bidi="hi-IN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26"/>
      <w:szCs w:val="26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hAnsiTheme="majorHAnsi" w:eastAsiaTheme="majorEastAsia" w:cstheme="majorBidi"/>
      <w:color w:val="0B3041" w:themeColor="accent1" w:themeShade="80"/>
      <w:kern w:val="2"/>
      <w:sz w:val="24"/>
      <w:szCs w:val="24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3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uppressAutoHyphens/>
      <w:spacing w:after="100"/>
      <w:ind w:left="709" w:firstLine="0"/>
      <w:outlineLvl w:val="1"/>
    </w:pPr>
    <w:rPr>
      <w:rFonts w:eastAsia="Aptos"/>
    </w:rPr>
  </w:style>
  <w:style w:type="paragraph" w:styleId="10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uppressAutoHyphens/>
      <w:spacing w:after="100"/>
      <w:ind w:left="993" w:hanging="6"/>
    </w:pPr>
    <w:rPr>
      <w:rFonts w:eastAsia="Aptos"/>
    </w:rPr>
  </w:style>
  <w:style w:type="paragraph" w:styleId="11">
    <w:name w:val="foot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table" w:styleId="12">
    <w:name w:val="Table Grid"/>
    <w:basedOn w:val="6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Загл 2"/>
    <w:basedOn w:val="3"/>
    <w:link w:val="14"/>
    <w:qFormat/>
    <w:uiPriority w:val="0"/>
    <w:pPr>
      <w:suppressAutoHyphens/>
      <w:spacing w:before="240" w:after="240" w:line="360" w:lineRule="auto"/>
      <w:ind w:firstLine="709"/>
      <w:jc w:val="both"/>
    </w:pPr>
    <w:rPr>
      <w:rFonts w:ascii="Times New Roman" w:hAnsi="Times New Roman" w:cs="Times New Roman"/>
      <w:b/>
      <w:bCs/>
      <w:lang w:eastAsia="zh-CN" w:bidi="hi-IN"/>
      <w14:ligatures w14:val="none"/>
    </w:rPr>
  </w:style>
  <w:style w:type="character" w:customStyle="1" w:styleId="14">
    <w:name w:val="Загл 2 Знак"/>
    <w:basedOn w:val="15"/>
    <w:link w:val="13"/>
    <w:uiPriority w:val="0"/>
    <w:rPr>
      <w:rFonts w:ascii="Times New Roman" w:hAnsi="Times New Roman" w:cs="Times New Roman" w:eastAsiaTheme="majorEastAsia"/>
      <w:b/>
      <w:bCs/>
      <w:color w:val="104862" w:themeColor="accent1" w:themeShade="BF"/>
      <w:sz w:val="26"/>
      <w:szCs w:val="26"/>
      <w:lang w:eastAsia="zh-CN" w:bidi="hi-IN"/>
      <w14:ligatures w14:val="none"/>
    </w:rPr>
  </w:style>
  <w:style w:type="character" w:customStyle="1" w:styleId="15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paragraph" w:customStyle="1" w:styleId="16">
    <w:name w:val="Загл 3"/>
    <w:basedOn w:val="4"/>
    <w:link w:val="17"/>
    <w:qFormat/>
    <w:uiPriority w:val="0"/>
    <w:pPr>
      <w:suppressAutoHyphens/>
      <w:spacing w:before="240" w:after="240" w:line="360" w:lineRule="auto"/>
      <w:ind w:firstLine="709"/>
    </w:pPr>
    <w:rPr>
      <w:rFonts w:ascii="Times New Roman" w:hAnsi="Times New Roman" w:cs="Times New Roman"/>
      <w:b/>
      <w:bCs/>
      <w:sz w:val="26"/>
      <w:szCs w:val="26"/>
      <w:lang w:eastAsia="zh-CN" w:bidi="hi-IN"/>
      <w14:ligatures w14:val="none"/>
    </w:rPr>
  </w:style>
  <w:style w:type="character" w:customStyle="1" w:styleId="17">
    <w:name w:val="Загл 3 Знак"/>
    <w:basedOn w:val="18"/>
    <w:link w:val="16"/>
    <w:qFormat/>
    <w:uiPriority w:val="0"/>
    <w:rPr>
      <w:rFonts w:ascii="Times New Roman" w:hAnsi="Times New Roman" w:cs="Times New Roman" w:eastAsiaTheme="majorEastAsia"/>
      <w:b/>
      <w:bCs/>
      <w:color w:val="0B3041" w:themeColor="accent1" w:themeShade="80"/>
      <w:sz w:val="26"/>
      <w:szCs w:val="26"/>
      <w:lang w:eastAsia="zh-CN" w:bidi="hi-IN"/>
      <w14:ligatures w14:val="none"/>
    </w:rPr>
  </w:style>
  <w:style w:type="character" w:customStyle="1" w:styleId="18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0B3041" w:themeColor="accent1" w:themeShade="80"/>
      <w:sz w:val="24"/>
      <w:szCs w:val="24"/>
    </w:rPr>
  </w:style>
  <w:style w:type="paragraph" w:customStyle="1" w:styleId="19">
    <w:name w:val="Загл_нум_1"/>
    <w:basedOn w:val="1"/>
    <w:link w:val="20"/>
    <w:qFormat/>
    <w:uiPriority w:val="0"/>
    <w:pPr>
      <w:keepNext/>
      <w:keepLines/>
      <w:numPr>
        <w:ilvl w:val="0"/>
        <w:numId w:val="1"/>
      </w:numPr>
      <w:tabs>
        <w:tab w:val="left" w:pos="284"/>
      </w:tabs>
      <w:suppressAutoHyphens/>
      <w:spacing w:after="240"/>
    </w:pPr>
    <w:rPr>
      <w:rFonts w:cs="Times New Roman" w:eastAsiaTheme="majorEastAsia"/>
      <w:b/>
      <w:bCs/>
      <w:kern w:val="2"/>
      <w:sz w:val="26"/>
      <w:szCs w:val="26"/>
      <w:lang w:eastAsia="zh-CN" w:bidi="hi-IN"/>
    </w:rPr>
  </w:style>
  <w:style w:type="character" w:customStyle="1" w:styleId="20">
    <w:name w:val="Загл_нум_1 Знак"/>
    <w:basedOn w:val="5"/>
    <w:link w:val="19"/>
    <w:qFormat/>
    <w:uiPriority w:val="0"/>
    <w:rPr>
      <w:rFonts w:ascii="Times New Roman" w:hAnsi="Times New Roman" w:cs="Times New Roman" w:eastAsiaTheme="majorEastAsia"/>
      <w:b/>
      <w:bCs/>
      <w:sz w:val="26"/>
      <w:szCs w:val="26"/>
      <w:lang w:eastAsia="zh-CN" w:bidi="hi-IN"/>
      <w14:ligatures w14:val="none"/>
    </w:rPr>
  </w:style>
  <w:style w:type="paragraph" w:customStyle="1" w:styleId="21">
    <w:name w:val="Загл_нум_2"/>
    <w:basedOn w:val="13"/>
    <w:link w:val="22"/>
    <w:qFormat/>
    <w:uiPriority w:val="0"/>
    <w:pPr>
      <w:numPr>
        <w:ilvl w:val="1"/>
        <w:numId w:val="1"/>
      </w:numPr>
      <w:tabs>
        <w:tab w:val="left" w:pos="426"/>
        <w:tab w:val="left" w:pos="567"/>
        <w:tab w:val="left" w:pos="851"/>
      </w:tabs>
      <w:outlineLvl w:val="0"/>
    </w:pPr>
  </w:style>
  <w:style w:type="character" w:customStyle="1" w:styleId="22">
    <w:name w:val="Загл_нум_2 Знак"/>
    <w:basedOn w:val="14"/>
    <w:link w:val="21"/>
    <w:qFormat/>
    <w:uiPriority w:val="0"/>
    <w:rPr>
      <w:rFonts w:ascii="Times New Roman" w:hAnsi="Times New Roman" w:cs="Times New Roman" w:eastAsiaTheme="majorEastAsia"/>
      <w:color w:val="104862" w:themeColor="accent1" w:themeShade="BF"/>
      <w:sz w:val="26"/>
      <w:szCs w:val="26"/>
      <w:lang w:eastAsia="zh-CN" w:bidi="hi-IN"/>
      <w14:ligatures w14:val="none"/>
    </w:rPr>
  </w:style>
  <w:style w:type="paragraph" w:customStyle="1" w:styleId="23">
    <w:name w:val="Загл_нум_3"/>
    <w:basedOn w:val="16"/>
    <w:link w:val="24"/>
    <w:qFormat/>
    <w:uiPriority w:val="0"/>
    <w:pPr>
      <w:numPr>
        <w:ilvl w:val="2"/>
        <w:numId w:val="1"/>
      </w:numPr>
      <w:tabs>
        <w:tab w:val="left" w:pos="0"/>
      </w:tabs>
      <w:jc w:val="both"/>
    </w:pPr>
  </w:style>
  <w:style w:type="character" w:customStyle="1" w:styleId="24">
    <w:name w:val="Загл_нум_3 Знак"/>
    <w:basedOn w:val="17"/>
    <w:link w:val="23"/>
    <w:qFormat/>
    <w:uiPriority w:val="0"/>
    <w:rPr>
      <w:rFonts w:ascii="Times New Roman" w:hAnsi="Times New Roman" w:cs="Times New Roman" w:eastAsiaTheme="majorEastAsia"/>
      <w:color w:val="0B3041" w:themeColor="accent1" w:themeShade="80"/>
      <w:sz w:val="26"/>
      <w:szCs w:val="26"/>
      <w:lang w:eastAsia="zh-CN" w:bidi="hi-IN"/>
      <w14:ligatures w14:val="none"/>
    </w:rPr>
  </w:style>
  <w:style w:type="character" w:customStyle="1" w:styleId="25">
    <w:name w:val="Заголовок 1 Знак"/>
    <w:basedOn w:val="5"/>
    <w:link w:val="2"/>
    <w:qFormat/>
    <w:uiPriority w:val="9"/>
    <w:rPr>
      <w:rFonts w:cs="Mangal" w:asciiTheme="majorHAnsi" w:hAnsiTheme="majorHAnsi" w:eastAsiaTheme="majorEastAsia"/>
      <w:color w:val="104862" w:themeColor="accent1" w:themeShade="BF"/>
      <w:sz w:val="32"/>
      <w:szCs w:val="29"/>
      <w:lang w:eastAsia="zh-CN" w:bidi="hi-IN"/>
      <w14:ligatures w14:val="none"/>
    </w:rPr>
  </w:style>
  <w:style w:type="table" w:customStyle="1" w:styleId="26">
    <w:name w:val="Сетка таблицы3"/>
    <w:basedOn w:val="6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Ссылка указателя"/>
    <w:qFormat/>
    <w:uiPriority w:val="0"/>
  </w:style>
  <w:style w:type="paragraph" w:customStyle="1" w:styleId="28">
    <w:name w:val="Для подписей"/>
    <w:basedOn w:val="1"/>
    <w:link w:val="29"/>
    <w:qFormat/>
    <w:uiPriority w:val="0"/>
    <w:pPr>
      <w:spacing w:before="120" w:after="240"/>
      <w:ind w:firstLine="0"/>
      <w:jc w:val="center"/>
    </w:pPr>
    <w:rPr>
      <w:szCs w:val="24"/>
    </w:rPr>
  </w:style>
  <w:style w:type="character" w:customStyle="1" w:styleId="29">
    <w:name w:val="Для подписей Знак"/>
    <w:basedOn w:val="5"/>
    <w:link w:val="28"/>
    <w:qFormat/>
    <w:uiPriority w:val="0"/>
    <w:rPr>
      <w:rFonts w:ascii="Times New Roman" w:hAnsi="Times New Roman"/>
      <w:kern w:val="0"/>
      <w:sz w:val="28"/>
      <w:szCs w:val="24"/>
      <w14:ligatures w14:val="none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Верхний колонтитул Знак"/>
    <w:basedOn w:val="5"/>
    <w:link w:val="8"/>
    <w:qFormat/>
    <w:uiPriority w:val="99"/>
    <w:rPr>
      <w:rFonts w:ascii="Times New Roman" w:hAnsi="Times New Roman"/>
      <w:kern w:val="0"/>
      <w:sz w:val="28"/>
      <w14:ligatures w14:val="none"/>
    </w:rPr>
  </w:style>
  <w:style w:type="character" w:customStyle="1" w:styleId="32">
    <w:name w:val="Нижний колонтитул Знак"/>
    <w:basedOn w:val="5"/>
    <w:link w:val="11"/>
    <w:qFormat/>
    <w:uiPriority w:val="99"/>
    <w:rPr>
      <w:rFonts w:ascii="Times New Roman" w:hAnsi="Times New Roman"/>
      <w:kern w:val="0"/>
      <w:sz w:val="2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75218-2BBA-4FB8-BDE7-61CB72068C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825</Words>
  <Characters>4703</Characters>
  <Lines>39</Lines>
  <Paragraphs>11</Paragraphs>
  <TotalTime>0</TotalTime>
  <ScaleCrop>false</ScaleCrop>
  <LinksUpToDate>false</LinksUpToDate>
  <CharactersWithSpaces>5517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2025-06-22T14:05:00Z</dcterms:created>
  <dc:creator>Груздев Николай</dc:creator>
  <cp:lastModifiedBy>proti</cp:lastModifiedBy>
  <dcterms:modified xsi:type="dcterms:W3CDTF">2025-06-23T17:37:41Z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D84D1176ADA84D41822EEC62CEAB8885_12</vt:lpwstr>
  </property>
</Properties>
</file>