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D6DDD" w14:textId="5908FB7A" w:rsidR="00B34AF5" w:rsidRDefault="00B34AF5" w:rsidP="00B34AF5">
      <w:pPr>
        <w:pStyle w:val="Standard"/>
      </w:pPr>
      <w:r>
        <w:t>David Baxter</w:t>
      </w:r>
      <w:r>
        <w:br/>
        <w:t xml:space="preserve">Class Number </w:t>
      </w:r>
      <w:r w:rsidR="000B532A">
        <w:t>1</w:t>
      </w:r>
      <w:r w:rsidR="00225CCB">
        <w:t>9</w:t>
      </w:r>
      <w:r w:rsidR="000B532A">
        <w:t>0</w:t>
      </w:r>
      <w:r w:rsidR="009A74A8">
        <w:t>2</w:t>
      </w:r>
      <w:r>
        <w:br/>
      </w:r>
      <w:r w:rsidR="00E46638">
        <w:t>Introduction to Philosophy</w:t>
      </w:r>
      <w:r>
        <w:t>, Summer 2</w:t>
      </w:r>
      <w:r w:rsidR="000B532A">
        <w:t>020</w:t>
      </w:r>
      <w:r>
        <w:br/>
        <w:t>Assignment 1</w:t>
      </w:r>
    </w:p>
    <w:p w14:paraId="013C7CD3" w14:textId="77777777" w:rsidR="00B34AF5" w:rsidRDefault="00B34AF5" w:rsidP="00B34AF5">
      <w:pPr>
        <w:pStyle w:val="Standard"/>
        <w:spacing w:line="480" w:lineRule="auto"/>
      </w:pPr>
    </w:p>
    <w:p w14:paraId="088D4D59" w14:textId="77777777" w:rsidR="00B34AF5" w:rsidRDefault="00B34AF5" w:rsidP="00B34AF5">
      <w:pPr>
        <w:pStyle w:val="Standard"/>
        <w:spacing w:line="480" w:lineRule="auto"/>
      </w:pPr>
      <w:r>
        <w:tab/>
        <w:t xml:space="preserve">In this paper, I will discuss how to format a paper. There are various interesting things to notice about this paper so far, including that </w:t>
      </w:r>
      <w:r>
        <w:rPr>
          <w:i/>
          <w:iCs/>
        </w:rPr>
        <w:t xml:space="preserve">double line spacing </w:t>
      </w:r>
      <w:r>
        <w:t>is being used. This setting allows the reader to read the text more easily as well as provide space for editing of the text.</w:t>
      </w:r>
      <w:r>
        <w:br/>
      </w:r>
      <w:r>
        <w:tab/>
        <w:t xml:space="preserve">However, when a new paragraph is started, it isn’t necessary to add extra white space such as an extra break return.  Speaking of white space, </w:t>
      </w:r>
      <w:proofErr w:type="gramStart"/>
      <w:r>
        <w:t>one inch</w:t>
      </w:r>
      <w:proofErr w:type="gramEnd"/>
      <w:r>
        <w:t xml:space="preserve"> margins are the standard for this sort of paper. The standard font is </w:t>
      </w:r>
      <w:proofErr w:type="gramStart"/>
      <w:r>
        <w:t>10 or 12 point</w:t>
      </w:r>
      <w:proofErr w:type="gramEnd"/>
      <w:r>
        <w:t xml:space="preserve"> Times New Roman, Arial, or something similar to these.</w:t>
      </w:r>
    </w:p>
    <w:p w14:paraId="2FDD06A2" w14:textId="2072E4CF" w:rsidR="00B34AF5" w:rsidRDefault="00B34AF5" w:rsidP="00B34AF5">
      <w:pPr>
        <w:pStyle w:val="Standard"/>
        <w:spacing w:line="480" w:lineRule="auto"/>
      </w:pPr>
      <w:r>
        <w:tab/>
        <w:t>In philosophy, most people use the Chicago citation system or some variant of it.  For your paper, please use the Turabian Author-Date system</w:t>
      </w:r>
      <w:r w:rsidR="00442F45">
        <w:t>. (</w:t>
      </w:r>
      <w:hyperlink r:id="rId6" w:history="1">
        <w:r w:rsidR="00442F45">
          <w:rPr>
            <w:rStyle w:val="Hyperlink"/>
          </w:rPr>
          <w:t>https://www.chicagomanualofstyle.org/turabian/ turabian-author-date-citation-quick-guide.html</w:t>
        </w:r>
      </w:hyperlink>
      <w:r w:rsidR="00442F45">
        <w:t>)</w:t>
      </w:r>
      <w:r w:rsidR="00455035">
        <w:t xml:space="preserve"> </w:t>
      </w:r>
      <w:r>
        <w:t xml:space="preserve">As an example, </w:t>
      </w:r>
      <w:r w:rsidR="00FC15DA">
        <w:t xml:space="preserve">let’s pretend I’m mention something about </w:t>
      </w:r>
      <w:r>
        <w:t>Bertrand Russell</w:t>
      </w:r>
      <w:r w:rsidR="00FC15DA">
        <w:t xml:space="preserve"> from a given article</w:t>
      </w:r>
      <w:r>
        <w:t xml:space="preserve"> (Irvine and Deutsch 2016).  All direct quotes should go in quotation marks. Longer quotes (over three lines) should go in a block quote. As an example:</w:t>
      </w:r>
    </w:p>
    <w:p w14:paraId="4D5435C7" w14:textId="77777777" w:rsidR="00B34AF5" w:rsidRDefault="00B34AF5" w:rsidP="00B34AF5">
      <w:pPr>
        <w:pStyle w:val="Standard"/>
        <w:ind w:left="1418"/>
      </w:pPr>
      <w:r>
        <w:rPr>
          <w:rFonts w:ascii="serif" w:hAnsi="serif"/>
          <w:color w:val="1A1A1A"/>
        </w:rPr>
        <w:t xml:space="preserve">The standard set of truth degrees for fuzzy logics is the real unit interval </w:t>
      </w:r>
      <w:bookmarkStart w:id="0" w:name="MathJax-Element-5-Frame"/>
      <w:bookmarkStart w:id="1" w:name="MathJax-Span-21"/>
      <w:bookmarkStart w:id="2" w:name="MathJax-Span-22"/>
      <w:bookmarkStart w:id="3" w:name="MathJax-Span-23"/>
      <w:bookmarkEnd w:id="0"/>
      <w:bookmarkEnd w:id="1"/>
      <w:bookmarkEnd w:id="2"/>
      <w:bookmarkEnd w:id="3"/>
      <w:r>
        <w:rPr>
          <w:rFonts w:ascii="MathJax Main" w:hAnsi="MathJax Main"/>
          <w:color w:val="1A1A1A"/>
        </w:rPr>
        <w:t>[</w:t>
      </w:r>
      <w:bookmarkStart w:id="4" w:name="MathJax-Span-24"/>
      <w:bookmarkEnd w:id="4"/>
      <w:r>
        <w:rPr>
          <w:rFonts w:ascii="MathJax Main" w:hAnsi="MathJax Main"/>
          <w:color w:val="1A1A1A"/>
        </w:rPr>
        <w:t>0</w:t>
      </w:r>
      <w:bookmarkStart w:id="5" w:name="MathJax-Span-25"/>
      <w:bookmarkEnd w:id="5"/>
      <w:r>
        <w:rPr>
          <w:rFonts w:ascii="MathJax Main" w:hAnsi="MathJax Main"/>
          <w:color w:val="1A1A1A"/>
        </w:rPr>
        <w:t>,</w:t>
      </w:r>
      <w:bookmarkStart w:id="6" w:name="MathJax-Span-26"/>
      <w:bookmarkEnd w:id="6"/>
      <w:r>
        <w:rPr>
          <w:rFonts w:ascii="MathJax Main" w:hAnsi="MathJax Main"/>
          <w:color w:val="1A1A1A"/>
        </w:rPr>
        <w:t>1</w:t>
      </w:r>
      <w:bookmarkStart w:id="7" w:name="MathJax-Span-27"/>
      <w:bookmarkEnd w:id="7"/>
      <w:r>
        <w:rPr>
          <w:rFonts w:ascii="MathJax Main" w:hAnsi="MathJax Main"/>
          <w:color w:val="1A1A1A"/>
        </w:rPr>
        <w:t>]</w:t>
      </w:r>
      <w:r>
        <w:rPr>
          <w:color w:val="1A1A1A"/>
        </w:rPr>
        <w:t xml:space="preserve"> </w:t>
      </w:r>
      <w:r>
        <w:rPr>
          <w:rFonts w:ascii="serif" w:hAnsi="serif"/>
          <w:color w:val="1A1A1A"/>
        </w:rPr>
        <w:t xml:space="preserve">with its natural ordering </w:t>
      </w:r>
      <w:r>
        <w:rPr>
          <w:color w:val="1A1A1A"/>
        </w:rPr>
        <w:t>≤</w:t>
      </w:r>
      <w:r>
        <w:rPr>
          <w:rFonts w:ascii="serif" w:hAnsi="serif"/>
          <w:color w:val="1A1A1A"/>
        </w:rPr>
        <w:t xml:space="preserve">, ranging from total falsity (represented by </w:t>
      </w:r>
      <w:bookmarkStart w:id="8" w:name="MathJax-Element-7-Frame"/>
      <w:bookmarkStart w:id="9" w:name="MathJax-Span-31"/>
      <w:bookmarkStart w:id="10" w:name="MathJax-Span-32"/>
      <w:bookmarkStart w:id="11" w:name="MathJax-Span-33"/>
      <w:bookmarkEnd w:id="8"/>
      <w:bookmarkEnd w:id="9"/>
      <w:bookmarkEnd w:id="10"/>
      <w:bookmarkEnd w:id="11"/>
      <w:r>
        <w:rPr>
          <w:rFonts w:ascii="MathJax Main" w:hAnsi="MathJax Main"/>
          <w:color w:val="1A1A1A"/>
        </w:rPr>
        <w:t>0</w:t>
      </w:r>
      <w:r>
        <w:rPr>
          <w:rFonts w:ascii="serif" w:hAnsi="serif"/>
          <w:color w:val="1A1A1A"/>
        </w:rPr>
        <w:t xml:space="preserve">) to total truth (represented by </w:t>
      </w:r>
      <w:bookmarkStart w:id="12" w:name="MathJax-Element-8-Frame"/>
      <w:bookmarkStart w:id="13" w:name="MathJax-Span-34"/>
      <w:bookmarkStart w:id="14" w:name="MathJax-Span-35"/>
      <w:bookmarkStart w:id="15" w:name="MathJax-Span-36"/>
      <w:bookmarkEnd w:id="12"/>
      <w:bookmarkEnd w:id="13"/>
      <w:bookmarkEnd w:id="14"/>
      <w:bookmarkEnd w:id="15"/>
      <w:r>
        <w:rPr>
          <w:rFonts w:ascii="MathJax Main" w:hAnsi="MathJax Main"/>
          <w:color w:val="1A1A1A"/>
        </w:rPr>
        <w:t>1</w:t>
      </w:r>
      <w:r>
        <w:rPr>
          <w:rFonts w:ascii="serif" w:hAnsi="serif"/>
          <w:color w:val="1A1A1A"/>
        </w:rPr>
        <w:t xml:space="preserve">) through a continuum of intermediate truth degrees. The most fundamental assumption of (mainstream) mathematical fuzzy logic is that connectives are to be interpreted truth-functionally over the set of truth-degrees. (Cintula </w:t>
      </w:r>
      <w:r>
        <w:rPr>
          <w:rFonts w:ascii="serif" w:hAnsi="serif"/>
          <w:i/>
          <w:iCs/>
          <w:color w:val="1A1A1A"/>
        </w:rPr>
        <w:t xml:space="preserve">et al. </w:t>
      </w:r>
      <w:r>
        <w:rPr>
          <w:rFonts w:ascii="serif" w:hAnsi="serif"/>
          <w:color w:val="1A1A1A"/>
        </w:rPr>
        <w:t>2017).</w:t>
      </w:r>
    </w:p>
    <w:p w14:paraId="329FE8FA" w14:textId="77777777" w:rsidR="00B34AF5" w:rsidRDefault="00B34AF5" w:rsidP="00B34AF5">
      <w:pPr>
        <w:pStyle w:val="Standard"/>
        <w:ind w:left="1418"/>
        <w:rPr>
          <w:rFonts w:ascii="serif" w:hAnsi="serif"/>
          <w:color w:val="1A1A1A"/>
        </w:rPr>
      </w:pPr>
    </w:p>
    <w:p w14:paraId="3BB97A2A" w14:textId="77777777" w:rsidR="00B34AF5" w:rsidRDefault="00B34AF5" w:rsidP="00B34AF5">
      <w:pPr>
        <w:pStyle w:val="Standard"/>
        <w:spacing w:line="480" w:lineRule="auto"/>
        <w:rPr>
          <w:rFonts w:ascii="serif" w:hAnsi="serif"/>
          <w:color w:val="1A1A1A"/>
        </w:rPr>
      </w:pPr>
      <w:r>
        <w:rPr>
          <w:rFonts w:ascii="serif" w:hAnsi="serif"/>
          <w:color w:val="1A1A1A"/>
        </w:rPr>
        <w:t>Finally, if your paper is longer than one page, be sure to but your name and a page number on subsequent pages.</w:t>
      </w:r>
    </w:p>
    <w:p w14:paraId="559071B3" w14:textId="77777777" w:rsidR="00B34AF5" w:rsidRDefault="00B34AF5" w:rsidP="00B34AF5">
      <w:pPr>
        <w:pStyle w:val="Standard"/>
        <w:spacing w:line="480" w:lineRule="auto"/>
        <w:rPr>
          <w:rFonts w:ascii="serif" w:hAnsi="serif"/>
          <w:color w:val="1A1A1A"/>
        </w:rPr>
      </w:pPr>
    </w:p>
    <w:p w14:paraId="2166D511" w14:textId="77777777" w:rsidR="00B34AF5" w:rsidRPr="005B0430" w:rsidRDefault="00B34AF5" w:rsidP="00B34AF5">
      <w:pPr>
        <w:pStyle w:val="Standard"/>
        <w:spacing w:line="480" w:lineRule="auto"/>
        <w:jc w:val="center"/>
        <w:rPr>
          <w:sz w:val="22"/>
        </w:rPr>
      </w:pPr>
      <w:r w:rsidRPr="005B0430">
        <w:rPr>
          <w:sz w:val="22"/>
        </w:rPr>
        <w:t>Works Cited</w:t>
      </w:r>
    </w:p>
    <w:p w14:paraId="0108BC61" w14:textId="77777777" w:rsidR="00B34AF5" w:rsidRPr="005B0430" w:rsidRDefault="00B34AF5" w:rsidP="00B34AF5">
      <w:pPr>
        <w:pStyle w:val="Standard"/>
        <w:rPr>
          <w:sz w:val="22"/>
        </w:rPr>
      </w:pPr>
      <w:r w:rsidRPr="005B0430">
        <w:rPr>
          <w:color w:val="1A1A1A"/>
          <w:sz w:val="22"/>
        </w:rPr>
        <w:t xml:space="preserve">Cintula, Petr, Christian G. Fermüller, and Carles Noguera, 2017. "Fuzzy Logic", </w:t>
      </w:r>
      <w:r w:rsidRPr="005B0430">
        <w:rPr>
          <w:rStyle w:val="Emphasis"/>
          <w:color w:val="1A1A1A"/>
          <w:sz w:val="22"/>
        </w:rPr>
        <w:t xml:space="preserve">The Stanford Encyclopedia of Philosophy </w:t>
      </w:r>
      <w:r w:rsidRPr="005B0430">
        <w:rPr>
          <w:color w:val="1A1A1A"/>
          <w:sz w:val="22"/>
        </w:rPr>
        <w:t>(Fall 2017 Edition), Edward N. Zalta ed.), URL = &lt;</w:t>
      </w:r>
      <w:hyperlink r:id="rId7" w:history="1">
        <w:r w:rsidRPr="005B0430">
          <w:rPr>
            <w:sz w:val="22"/>
          </w:rPr>
          <w:t>https://plato.stanford.edu/</w:t>
        </w:r>
      </w:hyperlink>
      <w:r w:rsidRPr="005B0430">
        <w:rPr>
          <w:color w:val="1A1A1A"/>
          <w:sz w:val="22"/>
        </w:rPr>
        <w:t>&gt;</w:t>
      </w:r>
    </w:p>
    <w:p w14:paraId="472F887D" w14:textId="77777777" w:rsidR="00B34AF5" w:rsidRPr="005B0430" w:rsidRDefault="00B34AF5" w:rsidP="00B34AF5">
      <w:pPr>
        <w:pStyle w:val="Standard"/>
        <w:rPr>
          <w:color w:val="1A1A1A"/>
          <w:sz w:val="22"/>
        </w:rPr>
      </w:pPr>
      <w:r w:rsidRPr="005B0430">
        <w:rPr>
          <w:color w:val="1A1A1A"/>
          <w:sz w:val="22"/>
        </w:rPr>
        <w:t xml:space="preserve"> </w:t>
      </w:r>
    </w:p>
    <w:p w14:paraId="0594068C" w14:textId="77777777" w:rsidR="00B34AF5" w:rsidRPr="005B0430" w:rsidRDefault="00B34AF5" w:rsidP="00B34AF5">
      <w:pPr>
        <w:pStyle w:val="Standard"/>
        <w:rPr>
          <w:sz w:val="22"/>
        </w:rPr>
      </w:pPr>
      <w:r w:rsidRPr="005B0430">
        <w:rPr>
          <w:color w:val="1A1A1A"/>
          <w:sz w:val="22"/>
        </w:rPr>
        <w:t xml:space="preserve">Irvine, Andrew </w:t>
      </w:r>
      <w:proofErr w:type="gramStart"/>
      <w:r w:rsidRPr="005B0430">
        <w:rPr>
          <w:color w:val="1A1A1A"/>
          <w:sz w:val="22"/>
        </w:rPr>
        <w:t>David</w:t>
      </w:r>
      <w:proofErr w:type="gramEnd"/>
      <w:r w:rsidRPr="005B0430">
        <w:rPr>
          <w:color w:val="1A1A1A"/>
          <w:sz w:val="22"/>
        </w:rPr>
        <w:t xml:space="preserve"> and Harry Deutsch, 2016. "Russell's Paradox", </w:t>
      </w:r>
      <w:r w:rsidRPr="005B0430">
        <w:rPr>
          <w:rStyle w:val="Emphasis"/>
          <w:color w:val="1A1A1A"/>
          <w:sz w:val="22"/>
        </w:rPr>
        <w:t xml:space="preserve">The Stanford Encyclopedia of Philosophy </w:t>
      </w:r>
      <w:r w:rsidRPr="005B0430">
        <w:rPr>
          <w:color w:val="1A1A1A"/>
          <w:sz w:val="22"/>
        </w:rPr>
        <w:t>(Winter 2016 Edition), Edward N. Zalta(ed.), URL = &lt;https://plato.stanford.edu&gt;</w:t>
      </w:r>
    </w:p>
    <w:p w14:paraId="67BBAE28" w14:textId="77777777" w:rsidR="00B34AF5" w:rsidRPr="005B0430" w:rsidRDefault="00B34AF5">
      <w:pPr>
        <w:pStyle w:val="Standard"/>
        <w:rPr>
          <w:sz w:val="22"/>
        </w:rPr>
      </w:pPr>
    </w:p>
    <w:sectPr w:rsidR="00B34AF5" w:rsidRPr="005B043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EA3C8" w14:textId="77777777" w:rsidR="00377727" w:rsidRDefault="00377727">
      <w:r>
        <w:separator/>
      </w:r>
    </w:p>
  </w:endnote>
  <w:endnote w:type="continuationSeparator" w:id="0">
    <w:p w14:paraId="340E91E1" w14:textId="77777777" w:rsidR="00377727" w:rsidRDefault="00377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erif">
    <w:altName w:val="Calibri"/>
    <w:charset w:val="00"/>
    <w:family w:val="auto"/>
    <w:pitch w:val="default"/>
  </w:font>
  <w:font w:name="MathJax Mai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44365" w14:textId="77777777" w:rsidR="00377727" w:rsidRDefault="00377727">
      <w:r>
        <w:rPr>
          <w:color w:val="000000"/>
        </w:rPr>
        <w:separator/>
      </w:r>
    </w:p>
  </w:footnote>
  <w:footnote w:type="continuationSeparator" w:id="0">
    <w:p w14:paraId="4BC58181" w14:textId="77777777" w:rsidR="00377727" w:rsidRDefault="00377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136"/>
    <w:rsid w:val="000B3272"/>
    <w:rsid w:val="000B532A"/>
    <w:rsid w:val="001D7A6B"/>
    <w:rsid w:val="00225CCB"/>
    <w:rsid w:val="00257356"/>
    <w:rsid w:val="002A5749"/>
    <w:rsid w:val="00377727"/>
    <w:rsid w:val="00394136"/>
    <w:rsid w:val="003C5EA5"/>
    <w:rsid w:val="00435C7A"/>
    <w:rsid w:val="00442F45"/>
    <w:rsid w:val="00455035"/>
    <w:rsid w:val="00463416"/>
    <w:rsid w:val="0049656F"/>
    <w:rsid w:val="004E1C32"/>
    <w:rsid w:val="00516088"/>
    <w:rsid w:val="00541DC8"/>
    <w:rsid w:val="00542207"/>
    <w:rsid w:val="00551D93"/>
    <w:rsid w:val="005B0430"/>
    <w:rsid w:val="005D16E5"/>
    <w:rsid w:val="00686801"/>
    <w:rsid w:val="006D6ED2"/>
    <w:rsid w:val="00724C80"/>
    <w:rsid w:val="00736942"/>
    <w:rsid w:val="00755174"/>
    <w:rsid w:val="007B5827"/>
    <w:rsid w:val="007C329B"/>
    <w:rsid w:val="007D49B8"/>
    <w:rsid w:val="00822A78"/>
    <w:rsid w:val="0086440C"/>
    <w:rsid w:val="00985BCD"/>
    <w:rsid w:val="009A74A8"/>
    <w:rsid w:val="00A052EF"/>
    <w:rsid w:val="00A13FD2"/>
    <w:rsid w:val="00AF11AD"/>
    <w:rsid w:val="00B34AF5"/>
    <w:rsid w:val="00C247C0"/>
    <w:rsid w:val="00C376FA"/>
    <w:rsid w:val="00CC7D89"/>
    <w:rsid w:val="00CF26AA"/>
    <w:rsid w:val="00DD3215"/>
    <w:rsid w:val="00DE4CF3"/>
    <w:rsid w:val="00E16591"/>
    <w:rsid w:val="00E46638"/>
    <w:rsid w:val="00EA2FCB"/>
    <w:rsid w:val="00FA603F"/>
    <w:rsid w:val="00FA7AAB"/>
    <w:rsid w:val="00FB6333"/>
    <w:rsid w:val="00FC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0D61"/>
  <w15:docId w15:val="{67A7D8E8-1C9B-4340-8683-2A0018D6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Emphasis">
    <w:name w:val="Emphasis"/>
    <w:rPr>
      <w:i/>
      <w:i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442F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lato.stanford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icagomanualofstyle.org/turabian/turabian-author-date-citation-quick-guid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Baxter</cp:lastModifiedBy>
  <cp:revision>8</cp:revision>
  <dcterms:created xsi:type="dcterms:W3CDTF">2020-06-10T03:03:00Z</dcterms:created>
  <dcterms:modified xsi:type="dcterms:W3CDTF">2020-06-10T10:44:00Z</dcterms:modified>
</cp:coreProperties>
</file>