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center"/>
        <w:ind w:right="5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Spectroscopie infrarouge et polarimétrie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Polarimétrie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both"/>
        <w:ind w:left="8" w:right="20" w:firstLine="299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Les molécules chirales interagissent avec la lumière polarisée. Lorsqu'un rayonnement monochromatique polarisé rectilignement traverse un échantillon chiral, le plan de polarisation est dévié d'un angle 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exp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. Dans le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cas d'un mélange de </w:t>
      </w:r>
      <w:r>
        <w:rPr>
          <w:rFonts w:ascii="Arial" w:cs="Arial" w:eastAsia="Arial" w:hAnsi="Arial"/>
          <w:sz w:val="18"/>
          <w:szCs w:val="18"/>
          <w:color w:val="auto"/>
        </w:rPr>
        <w:t>k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constituants chiraux, on a la relation de </w:t>
      </w:r>
      <w:r>
        <w:rPr>
          <w:rFonts w:ascii="Arial" w:cs="Arial" w:eastAsia="Arial" w:hAnsi="Arial"/>
          <w:sz w:val="13"/>
          <w:szCs w:val="13"/>
          <w:color w:val="auto"/>
        </w:rPr>
        <w:t>Biot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: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tbl>
      <w:tblPr>
        <w:tblLayout w:type="fixed"/>
        <w:tblInd w:w="308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center"/>
              <w:ind w:right="45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</w:t>
            </w:r>
          </w:p>
        </w:tc>
      </w:tr>
      <w:tr>
        <w:trPr>
          <w:trHeight w:val="5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center"/>
              <w:ind w:right="4555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X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  <w:vertAlign w:val="subscript"/>
              </w:rPr>
              <w:t>i</w:t>
            </w:r>
          </w:p>
        </w:tc>
      </w:tr>
      <w:tr>
        <w:trPr>
          <w:trHeight w:val="28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ind w:left="286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bscript"/>
              </w:rPr>
              <w:t>exp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= l</w:t>
            </w:r>
          </w:p>
        </w:tc>
        <w:tc>
          <w:tcPr>
            <w:tcW w:w="4940" w:type="dxa"/>
            <w:vAlign w:val="bottom"/>
          </w:tcPr>
          <w:p>
            <w:pPr>
              <w:jc w:val="center"/>
              <w:ind w:right="3515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[ ]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perscript"/>
              </w:rPr>
              <w:t>;i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bscript"/>
              </w:rPr>
              <w:t>m;i</w:t>
            </w:r>
          </w:p>
        </w:tc>
      </w:tr>
      <w:tr>
        <w:trPr>
          <w:trHeight w:val="175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right"/>
              <w:ind w:right="45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=1</w:t>
            </w:r>
          </w:p>
        </w:tc>
      </w:tr>
      <w:tr>
        <w:trPr>
          <w:trHeight w:val="419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où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[ ]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perscript"/>
              </w:rPr>
              <w:t>;i</w:t>
            </w:r>
          </w:p>
        </w:tc>
        <w:tc>
          <w:tcPr>
            <w:tcW w:w="8540" w:type="dxa"/>
            <w:vAlign w:val="bottom"/>
            <w:gridSpan w:val="2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bscript"/>
              </w:rPr>
              <w:t>est le pouvoir rotatoire spéci</w:t>
            </w:r>
            <w:r>
              <w:rPr>
                <w:rFonts w:ascii="PMingLiU" w:cs="PMingLiU" w:eastAsia="PMingLiU" w:hAnsi="PMingLiU"/>
                <w:sz w:val="44"/>
                <w:szCs w:val="44"/>
                <w:color w:val="auto"/>
                <w:w w:val="72"/>
                <w:vertAlign w:val="subscript"/>
              </w:rPr>
              <w:t/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bscript"/>
              </w:rPr>
              <w:t>que du constituant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,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m;i 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(en g  L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7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) la concentration massique du</w:t>
            </w:r>
          </w:p>
        </w:tc>
      </w:tr>
    </w:tbl>
    <w:p>
      <w:pPr>
        <w:ind w:left="8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constituant </w:t>
      </w:r>
      <w:r>
        <w:rPr>
          <w:rFonts w:ascii="Arial" w:cs="Arial" w:eastAsia="Arial" w:hAnsi="Arial"/>
          <w:sz w:val="18"/>
          <w:szCs w:val="18"/>
          <w:color w:val="auto"/>
        </w:rPr>
        <w:t>i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en solution et </w:t>
      </w:r>
      <w:r>
        <w:rPr>
          <w:rFonts w:ascii="Arial" w:cs="Arial" w:eastAsia="Arial" w:hAnsi="Arial"/>
          <w:sz w:val="18"/>
          <w:szCs w:val="18"/>
          <w:color w:val="auto"/>
        </w:rPr>
        <w:t>l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la longueur de la cuve (en dm).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Produits chimiques :</w:t>
      </w:r>
    </w:p>
    <w:p>
      <w:pPr>
        <w:ind w:left="508" w:hanging="309"/>
        <w:spacing w:after="0" w:line="184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21"/>
          <w:szCs w:val="2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</w:t>
      </w:r>
      <w:r>
        <w:rPr>
          <w:rFonts w:ascii="Arial" w:cs="Arial" w:eastAsia="Arial" w:hAnsi="Arial"/>
          <w:sz w:val="20"/>
          <w:szCs w:val="20"/>
          <w:color w:val="auto"/>
        </w:rPr>
        <w:t>-(-)-Acide mandélique : C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8</w:t>
      </w:r>
      <w:r>
        <w:rPr>
          <w:rFonts w:ascii="Arial" w:cs="Arial" w:eastAsia="Arial" w:hAnsi="Arial"/>
          <w:sz w:val="20"/>
          <w:szCs w:val="20"/>
          <w:color w:val="auto"/>
        </w:rPr>
        <w:t>H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8</w:t>
      </w:r>
      <w:r>
        <w:rPr>
          <w:rFonts w:ascii="Arial" w:cs="Arial" w:eastAsia="Arial" w:hAnsi="Arial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3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;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M </w:t>
      </w:r>
      <w:r>
        <w:rPr>
          <w:rFonts w:ascii="Arial" w:cs="Arial" w:eastAsia="Arial" w:hAnsi="Arial"/>
          <w:sz w:val="20"/>
          <w:szCs w:val="20"/>
          <w:color w:val="auto"/>
        </w:rPr>
        <w:t>= 152,15 g  mol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;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T</w:t>
      </w:r>
      <w:r>
        <w:rPr>
          <w:rFonts w:ascii="Arial" w:cs="Arial" w:eastAsia="Arial" w:hAnsi="Arial"/>
          <w:sz w:val="25"/>
          <w:szCs w:val="25"/>
          <w:color w:val="auto"/>
          <w:vertAlign w:val="subscript"/>
        </w:rPr>
        <w:t>fus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= </w:t>
      </w:r>
      <w:r>
        <w:rPr>
          <w:rFonts w:ascii="Arial" w:cs="Arial" w:eastAsia="Arial" w:hAnsi="Arial"/>
          <w:sz w:val="20"/>
          <w:szCs w:val="20"/>
          <w:color w:val="auto"/>
        </w:rPr>
        <w:t>132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40"/>
          <w:szCs w:val="40"/>
          <w:color w:val="auto"/>
          <w:vertAlign w:val="superscript"/>
        </w:rPr>
        <w:t>C ; solubilité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s </w:t>
      </w:r>
      <w:r>
        <w:rPr>
          <w:rFonts w:ascii="Arial" w:cs="Arial" w:eastAsia="Arial" w:hAnsi="Arial"/>
          <w:sz w:val="20"/>
          <w:szCs w:val="20"/>
          <w:color w:val="auto"/>
        </w:rPr>
        <w:t>= 15 g / 100 mL.</w:t>
      </w:r>
    </w:p>
    <w:p>
      <w:pPr>
        <w:spacing w:after="0" w:line="47" w:lineRule="exact"/>
        <w:rPr>
          <w:rFonts w:ascii="PMingLiU" w:cs="PMingLiU" w:eastAsia="PMingLiU" w:hAnsi="PMingLiU"/>
          <w:sz w:val="21"/>
          <w:szCs w:val="21"/>
          <w:color w:val="auto"/>
        </w:rPr>
      </w:pPr>
    </w:p>
    <w:p>
      <w:pPr>
        <w:ind w:left="508" w:hanging="309"/>
        <w:spacing w:after="0" w:line="181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17"/>
          <w:szCs w:val="17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</w:t>
      </w:r>
      <w:r>
        <w:rPr>
          <w:rFonts w:ascii="Arial" w:cs="Arial" w:eastAsia="Arial" w:hAnsi="Arial"/>
          <w:sz w:val="16"/>
          <w:szCs w:val="16"/>
          <w:color w:val="auto"/>
        </w:rPr>
        <w:t>-(+)-Acide mandélique : C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8</w:t>
      </w:r>
      <w:r>
        <w:rPr>
          <w:rFonts w:ascii="Arial" w:cs="Arial" w:eastAsia="Arial" w:hAnsi="Arial"/>
          <w:sz w:val="16"/>
          <w:szCs w:val="16"/>
          <w:color w:val="auto"/>
        </w:rPr>
        <w:t>H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8</w:t>
      </w:r>
      <w:r>
        <w:rPr>
          <w:rFonts w:ascii="Arial" w:cs="Arial" w:eastAsia="Arial" w:hAnsi="Arial"/>
          <w:sz w:val="16"/>
          <w:szCs w:val="16"/>
          <w:color w:val="auto"/>
        </w:rPr>
        <w:t>O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3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16"/>
          <w:szCs w:val="16"/>
          <w:color w:val="auto"/>
        </w:rPr>
        <w:t>;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M </w:t>
      </w:r>
      <w:r>
        <w:rPr>
          <w:rFonts w:ascii="Arial" w:cs="Arial" w:eastAsia="Arial" w:hAnsi="Arial"/>
          <w:sz w:val="16"/>
          <w:szCs w:val="16"/>
          <w:color w:val="auto"/>
        </w:rPr>
        <w:t>= 152,15 g  mol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16"/>
          <w:szCs w:val="16"/>
          <w:color w:val="auto"/>
        </w:rPr>
        <w:t>;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T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fus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= </w:t>
      </w:r>
      <w:r>
        <w:rPr>
          <w:rFonts w:ascii="Arial" w:cs="Arial" w:eastAsia="Arial" w:hAnsi="Arial"/>
          <w:sz w:val="16"/>
          <w:szCs w:val="16"/>
          <w:color w:val="auto"/>
        </w:rPr>
        <w:t>132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C ; solubilité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s </w:t>
      </w:r>
      <w:r>
        <w:rPr>
          <w:rFonts w:ascii="Arial" w:cs="Arial" w:eastAsia="Arial" w:hAnsi="Arial"/>
          <w:sz w:val="16"/>
          <w:szCs w:val="16"/>
          <w:color w:val="auto"/>
        </w:rPr>
        <w:t>= 15 g / 100 mL.</w:t>
      </w:r>
    </w:p>
    <w:p>
      <w:pPr>
        <w:spacing w:after="0" w:line="47" w:lineRule="exact"/>
        <w:rPr>
          <w:rFonts w:ascii="PMingLiU" w:cs="PMingLiU" w:eastAsia="PMingLiU" w:hAnsi="PMingLiU"/>
          <w:sz w:val="17"/>
          <w:szCs w:val="17"/>
          <w:color w:val="auto"/>
        </w:rPr>
      </w:pPr>
    </w:p>
    <w:p>
      <w:pPr>
        <w:ind w:left="508" w:hanging="309"/>
        <w:spacing w:after="0" w:line="181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(  )-Acide mandélique : C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8</w:t>
      </w:r>
      <w:r>
        <w:rPr>
          <w:rFonts w:ascii="Arial" w:cs="Arial" w:eastAsia="Arial" w:hAnsi="Arial"/>
          <w:sz w:val="17"/>
          <w:szCs w:val="17"/>
          <w:color w:val="auto"/>
        </w:rPr>
        <w:t>H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8</w:t>
      </w:r>
      <w:r>
        <w:rPr>
          <w:rFonts w:ascii="Arial" w:cs="Arial" w:eastAsia="Arial" w:hAnsi="Arial"/>
          <w:sz w:val="17"/>
          <w:szCs w:val="17"/>
          <w:color w:val="auto"/>
        </w:rPr>
        <w:t>O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3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; </w:t>
      </w:r>
      <w:r>
        <w:rPr>
          <w:rFonts w:ascii="Arial" w:cs="Arial" w:eastAsia="Arial" w:hAnsi="Arial"/>
          <w:sz w:val="14"/>
          <w:szCs w:val="14"/>
          <w:color w:val="auto"/>
        </w:rPr>
        <w:t>M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= 152,15 g  mol 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; </w:t>
      </w:r>
      <w:r>
        <w:rPr>
          <w:rFonts w:ascii="Arial" w:cs="Arial" w:eastAsia="Arial" w:hAnsi="Arial"/>
          <w:sz w:val="14"/>
          <w:szCs w:val="14"/>
          <w:color w:val="auto"/>
        </w:rPr>
        <w:t>T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fus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</w:t>
      </w:r>
      <w:r>
        <w:rPr>
          <w:rFonts w:ascii="Arial" w:cs="Arial" w:eastAsia="Arial" w:hAnsi="Arial"/>
          <w:sz w:val="14"/>
          <w:szCs w:val="14"/>
          <w:color w:val="auto"/>
        </w:rPr>
        <w:t>=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132 </w:t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C ; solubilité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</w:t>
      </w:r>
      <w:r>
        <w:rPr>
          <w:rFonts w:ascii="Arial" w:cs="Arial" w:eastAsia="Arial" w:hAnsi="Arial"/>
          <w:sz w:val="14"/>
          <w:szCs w:val="14"/>
          <w:color w:val="auto"/>
        </w:rPr>
        <w:t>s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= 15 g / 100 mL.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Manipulation :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3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Préparer trois solutions de concentrations massiques 4,00 ; 10,0 et 20,0 g  L 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de </w:t>
      </w:r>
      <w:r>
        <w:rPr>
          <w:rFonts w:ascii="Arial" w:cs="Arial" w:eastAsia="Arial" w:hAnsi="Arial"/>
          <w:sz w:val="17"/>
          <w:szCs w:val="17"/>
          <w:color w:val="auto"/>
        </w:rPr>
        <w:t>R</w:t>
      </w:r>
      <w:r>
        <w:rPr>
          <w:rFonts w:ascii="Arial" w:cs="Arial" w:eastAsia="Arial" w:hAnsi="Arial"/>
          <w:sz w:val="19"/>
          <w:szCs w:val="19"/>
          <w:color w:val="auto"/>
        </w:rPr>
        <w:t>-(-)-Acide mandélique.</w:t>
      </w:r>
    </w:p>
    <w:p>
      <w:pPr>
        <w:spacing w:after="0" w:line="125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508" w:right="60" w:hanging="264"/>
        <w:spacing w:after="0" w:line="214" w:lineRule="exact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 déduire le pouvoir rotatoire spéci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que du </w:t>
      </w:r>
      <w:r>
        <w:rPr>
          <w:rFonts w:ascii="Arial" w:cs="Arial" w:eastAsia="Arial" w:hAnsi="Arial"/>
          <w:sz w:val="19"/>
          <w:szCs w:val="19"/>
          <w:color w:val="auto"/>
        </w:rPr>
        <w:t>R</w:t>
      </w:r>
      <w:r>
        <w:rPr>
          <w:rFonts w:ascii="Arial" w:cs="Arial" w:eastAsia="Arial" w:hAnsi="Arial"/>
          <w:sz w:val="22"/>
          <w:szCs w:val="22"/>
          <w:color w:val="auto"/>
        </w:rPr>
        <w:t>-(-)-Acide mandélique dans les conditions opératoires. Évaluer l'incertitude.</w:t>
      </w:r>
    </w:p>
    <w:p>
      <w:pPr>
        <w:spacing w:after="0" w:line="10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08" w:right="20" w:hanging="264"/>
        <w:spacing w:after="0" w:line="226" w:lineRule="exact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Préparer une solution à 20,0 g L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de </w:t>
      </w:r>
      <w:r>
        <w:rPr>
          <w:rFonts w:ascii="Arial" w:cs="Arial" w:eastAsia="Arial" w:hAnsi="Arial"/>
          <w:sz w:val="19"/>
          <w:szCs w:val="19"/>
          <w:color w:val="auto"/>
        </w:rPr>
        <w:t>S</w:t>
      </w:r>
      <w:r>
        <w:rPr>
          <w:rFonts w:ascii="Arial" w:cs="Arial" w:eastAsia="Arial" w:hAnsi="Arial"/>
          <w:sz w:val="22"/>
          <w:szCs w:val="22"/>
          <w:color w:val="auto"/>
        </w:rPr>
        <w:t>-(+)-Acide mandélique et mesurer son pouvoir rotatoire. En déduire le pouvoir rotatoire spéci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que du </w:t>
      </w:r>
      <w:r>
        <w:rPr>
          <w:rFonts w:ascii="Arial" w:cs="Arial" w:eastAsia="Arial" w:hAnsi="Arial"/>
          <w:sz w:val="19"/>
          <w:szCs w:val="19"/>
          <w:color w:val="auto"/>
        </w:rPr>
        <w:t>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-(+)-Acide mandélique. Est-il énantiomère du </w:t>
      </w:r>
      <w:r>
        <w:rPr>
          <w:rFonts w:ascii="Arial" w:cs="Arial" w:eastAsia="Arial" w:hAnsi="Arial"/>
          <w:sz w:val="19"/>
          <w:szCs w:val="19"/>
          <w:color w:val="auto"/>
        </w:rPr>
        <w:t>R</w:t>
      </w:r>
      <w:r>
        <w:rPr>
          <w:rFonts w:ascii="Arial" w:cs="Arial" w:eastAsia="Arial" w:hAnsi="Arial"/>
          <w:sz w:val="22"/>
          <w:szCs w:val="22"/>
          <w:color w:val="auto"/>
        </w:rPr>
        <w:t>-(-)-Acide mandélique ?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Préparer une solution à 20,0 g  L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de (  )-Acide mandélique et mesurer son pouvoir rotatoire. Conclure.</w:t>
      </w:r>
    </w:p>
    <w:p>
      <w:pPr>
        <w:spacing w:after="0" w:line="1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8" w:right="60" w:hanging="264"/>
        <w:spacing w:after="0" w:line="208" w:lineRule="auto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Préparer une solution à 20,0 g L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 mélange </w:t>
      </w:r>
      <w:r>
        <w:rPr>
          <w:rFonts w:ascii="Arial" w:cs="Arial" w:eastAsia="Arial" w:hAnsi="Arial"/>
          <w:sz w:val="19"/>
          <w:szCs w:val="19"/>
          <w:color w:val="auto"/>
        </w:rPr>
        <w:t>M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et mesurer son pouvoir rotatoire. Calculer l'excès énantiomérique.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Mesure de point de fusion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Température initiale de la mesure : 115  C.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Rampe de température : 5  </w:t>
      </w:r>
      <w:r>
        <w:rPr>
          <w:rFonts w:ascii="Arial" w:cs="Arial" w:eastAsia="Arial" w:hAnsi="Arial"/>
          <w:sz w:val="44"/>
          <w:szCs w:val="44"/>
          <w:color w:val="auto"/>
          <w:vertAlign w:val="subscript"/>
        </w:rPr>
        <w:t>C  min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  <w:vertAlign w:val="subscript"/>
        </w:rPr>
        <w:t>1</w:t>
      </w:r>
      <w:r>
        <w:rPr>
          <w:rFonts w:ascii="Arial" w:cs="Arial" w:eastAsia="Arial" w:hAnsi="Arial"/>
          <w:sz w:val="44"/>
          <w:szCs w:val="44"/>
          <w:color w:val="auto"/>
          <w:vertAlign w:val="subscript"/>
        </w:rPr>
        <w:t>.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Manipulation 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508" w:hanging="309"/>
        <w:spacing w:after="0" w:line="202" w:lineRule="auto"/>
        <w:tabs>
          <w:tab w:leader="none" w:pos="508" w:val="left"/>
        </w:tabs>
        <w:numPr>
          <w:ilvl w:val="0"/>
          <w:numId w:val="5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Mesurer les températures de fusion du </w:t>
      </w:r>
      <w:r>
        <w:rPr>
          <w:rFonts w:ascii="Arial" w:cs="Arial" w:eastAsia="Arial" w:hAnsi="Arial"/>
          <w:sz w:val="19"/>
          <w:szCs w:val="19"/>
          <w:color w:val="auto"/>
        </w:rPr>
        <w:t>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-(-)-Acide mandélique, du </w:t>
      </w:r>
      <w:r>
        <w:rPr>
          <w:rFonts w:ascii="Arial" w:cs="Arial" w:eastAsia="Arial" w:hAnsi="Arial"/>
          <w:sz w:val="19"/>
          <w:szCs w:val="19"/>
          <w:color w:val="auto"/>
        </w:rPr>
        <w:t>S</w:t>
      </w:r>
      <w:r>
        <w:rPr>
          <w:rFonts w:ascii="Arial" w:cs="Arial" w:eastAsia="Arial" w:hAnsi="Arial"/>
          <w:sz w:val="22"/>
          <w:szCs w:val="22"/>
          <w:color w:val="auto"/>
        </w:rPr>
        <w:t>-(+)-Acide mandélique et du ( )-Acide mandélique.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6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Spectroscopie Infrarouge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8" w:right="120" w:firstLine="299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Nous allons reprendre les réactifs et les produits des précédentes synthèses pour mesurer leur spectre infra-rouge.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Produits chimiques :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508" w:hanging="309"/>
        <w:spacing w:after="0"/>
        <w:tabs>
          <w:tab w:leader="none" w:pos="508" w:val="left"/>
        </w:tabs>
        <w:numPr>
          <w:ilvl w:val="0"/>
          <w:numId w:val="7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Stilbène et produit de la bromation.</w:t>
      </w:r>
    </w:p>
    <w:p>
      <w:pPr>
        <w:spacing w:after="0" w:line="41" w:lineRule="exact"/>
        <w:rPr>
          <w:rFonts w:ascii="PMingLiU" w:cs="PMingLiU" w:eastAsia="PMingLiU" w:hAnsi="PMingLiU"/>
          <w:sz w:val="22"/>
          <w:szCs w:val="22"/>
          <w:color w:val="auto"/>
        </w:rPr>
      </w:pPr>
    </w:p>
    <w:p>
      <w:pPr>
        <w:ind w:left="508" w:hanging="309"/>
        <w:spacing w:after="0"/>
        <w:tabs>
          <w:tab w:leader="none" w:pos="508" w:val="left"/>
        </w:tabs>
        <w:numPr>
          <w:ilvl w:val="0"/>
          <w:numId w:val="7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Cyclohexanol et produit de la déshydratation.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Manipulation :</w:t>
      </w:r>
    </w:p>
    <w:p>
      <w:pPr>
        <w:sectPr>
          <w:pgSz w:w="11900" w:h="16838" w:orient="portrait"/>
          <w:cols w:equalWidth="0" w:num="1">
            <w:col w:w="9608"/>
          </w:cols>
          <w:pgMar w:left="1152" w:top="1440" w:right="1146" w:bottom="558" w:gutter="0" w:footer="0" w:header="0"/>
        </w:sectPr>
      </w:pP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Préparer les réactifs et les produits.</w:t>
      </w:r>
    </w:p>
    <w:p>
      <w:pPr>
        <w:spacing w:after="0" w:line="7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88" w:hanging="244"/>
        <w:spacing w:after="0" w:line="231" w:lineRule="exact"/>
        <w:tabs>
          <w:tab w:leader="none" w:pos="488" w:val="left"/>
        </w:tabs>
        <w:numPr>
          <w:ilvl w:val="0"/>
          <w:numId w:val="8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Acquérir les spectres infrarouge des di</w:t>
      </w:r>
      <w:r>
        <w:rPr>
          <w:rFonts w:ascii="PMingLiU" w:cs="PMingLiU" w:eastAsia="PMingLiU" w:hAnsi="PMingLiU"/>
          <w:sz w:val="19"/>
          <w:szCs w:val="19"/>
          <w:color w:val="auto"/>
        </w:rPr>
        <w:t/>
      </w:r>
      <w:r>
        <w:rPr>
          <w:rFonts w:ascii="Arial" w:cs="Arial" w:eastAsia="Arial" w:hAnsi="Arial"/>
          <w:sz w:val="19"/>
          <w:szCs w:val="19"/>
          <w:color w:val="auto"/>
        </w:rPr>
        <w:t>érents composés.</w:t>
      </w:r>
    </w:p>
    <w:p>
      <w:pPr>
        <w:sectPr>
          <w:pgSz w:w="11900" w:h="16838" w:orient="portrait"/>
          <w:cols w:equalWidth="0" w:num="1">
            <w:col w:w="9608"/>
          </w:cols>
          <w:pgMar w:left="1152" w:top="1440" w:right="1146" w:bottom="558" w:gutter="0" w:footer="0" w:header="0"/>
          <w:type w:val="continuous"/>
        </w:sectPr>
      </w:pPr>
    </w:p>
    <w:bookmarkStart w:id="1" w:name="page2"/>
    <w:bookmarkEnd w:id="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Spectroscopie IR et polarimétrie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15875</wp:posOffset>
                </wp:positionV>
                <wp:extent cx="6096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2.1499pt,1.25pt" to="467.85pt,1.2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44" w:hanging="244"/>
        <w:spacing w:after="0" w:line="267" w:lineRule="exact"/>
        <w:tabs>
          <w:tab w:leader="none" w:pos="244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Attribuer les bandes caractéristiques de vibration sur les di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érents spectres IR.</w:t>
      </w:r>
    </w:p>
    <w:p>
      <w:pPr>
        <w:spacing w:after="0" w:line="5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44" w:hanging="244"/>
        <w:spacing w:after="0"/>
        <w:tabs>
          <w:tab w:leader="none" w:pos="244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Conclure quant aux réactions réalisées.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133985</wp:posOffset>
                </wp:positionV>
                <wp:extent cx="56572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1pt,10.55pt" to="450.55pt,10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131445</wp:posOffset>
                </wp:positionV>
                <wp:extent cx="0" cy="16516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3pt,10.35pt" to="5.3pt,140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131445</wp:posOffset>
                </wp:positionV>
                <wp:extent cx="0" cy="165163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0.35pt,10.35pt" to="450.35pt,140.4pt" o:allowincell="f" strokecolor="#000000" strokeweight="0.398pt"/>
            </w:pict>
          </mc:Fallback>
        </mc:AlternateConten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Préparation d'échantillons pour l'IR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jc w:val="both"/>
        <w:ind w:left="744" w:right="500" w:hanging="309"/>
        <w:spacing w:after="0" w:line="236" w:lineRule="exact"/>
        <w:tabs>
          <w:tab w:leader="none" w:pos="744" w:val="left"/>
        </w:tabs>
        <w:numPr>
          <w:ilvl w:val="0"/>
          <w:numId w:val="10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Composé solide : </w:t>
      </w:r>
      <w:r>
        <w:rPr>
          <w:rFonts w:ascii="Arial" w:cs="Arial" w:eastAsia="Arial" w:hAnsi="Arial"/>
          <w:sz w:val="22"/>
          <w:szCs w:val="22"/>
          <w:color w:val="auto"/>
        </w:rPr>
        <w:t>Déposer une pointe de spatule du composé solide dans un mortier. Ajouter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8 spatules de KBr et mélanger à l'aide d'un pilon. Disposer 3 spatules du mélange dans le support de presse et comprimer la poudre sous un pression de 7 bar pendant 1 minute, a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n d'obtenir une pastille. Enregistrer la référence en l'absence de pastille, puis enregistrer le spectre IR sur la pastille.</w:t>
      </w:r>
    </w:p>
    <w:p>
      <w:pPr>
        <w:spacing w:after="0" w:line="85" w:lineRule="exact"/>
        <w:rPr>
          <w:rFonts w:ascii="PMingLiU" w:cs="PMingLiU" w:eastAsia="PMingLiU" w:hAnsi="PMingLiU"/>
          <w:sz w:val="22"/>
          <w:szCs w:val="22"/>
          <w:color w:val="auto"/>
        </w:rPr>
      </w:pPr>
    </w:p>
    <w:p>
      <w:pPr>
        <w:jc w:val="both"/>
        <w:ind w:left="744" w:right="520" w:hanging="309"/>
        <w:spacing w:after="0" w:line="235" w:lineRule="exact"/>
        <w:tabs>
          <w:tab w:leader="none" w:pos="744" w:val="left"/>
        </w:tabs>
        <w:numPr>
          <w:ilvl w:val="0"/>
          <w:numId w:val="10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Composé liquide : </w:t>
      </w:r>
      <w:r>
        <w:rPr>
          <w:rFonts w:ascii="Arial" w:cs="Arial" w:eastAsia="Arial" w:hAnsi="Arial"/>
          <w:sz w:val="22"/>
          <w:szCs w:val="22"/>
          <w:color w:val="auto"/>
        </w:rPr>
        <w:t>Disposer 3 spatules de KBr dans le support de presse et comprimer la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poudre sous un pression de 7 bar pendant 1 minute, a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n d'obtenir une pastille. Enregistrer la référence, sur la pastille de KBr, puis ajouter une goutte du composé liquide, et enregistrer le spectre IR du composé.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33020</wp:posOffset>
                </wp:positionV>
                <wp:extent cx="56572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1pt,2.6pt" to="450.55pt,2.6pt" o:allowincell="f" strokecolor="#000000" strokeweight="0.398pt"/>
            </w:pict>
          </mc:Fallback>
        </mc:AlternateContent>
      </w:r>
    </w:p>
    <w:sectPr>
      <w:pgSz w:w="11900" w:h="16838" w:orient="portrait"/>
      <w:cols w:equalWidth="0" w:num="1">
        <w:col w:w="9324"/>
      </w:cols>
      <w:pgMar w:left="1396" w:top="379" w:right="11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1B71EFB"/>
    <w:multiLevelType w:val="hybridMultilevel"/>
    <w:lvl w:ilvl="0">
      <w:lvlJc w:val="left"/>
      <w:lvlText w:val="2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3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3"/>
    </w:lvl>
  </w:abstractNum>
  <w:abstractNum w:abstractNumId="9">
    <w:nsid w:val="4DB127F8"/>
    <w:multiLevelType w:val="hybridMultilevel"/>
    <w:lvl w:ilvl="0">
      <w:lvlJc w:val="left"/>
      <w:lvlText w:val="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2019-12-17T16:50:33Z</dcterms:created>
  <dcterms:modified xsi:type="dcterms:W3CDTF">2019-12-17T16:50:33Z</dcterms:modified>
</cp:coreProperties>
</file>