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jc w:val="center"/>
        <w:ind w:right="52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红外光谱和旋光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2" w:lineRule="exact"/>
        <w:rPr>
          <w:sz w:val="24"/>
          <w:szCs w:val="24"/>
          <w:color w:val="auto"/>
        </w:rPr>
      </w:pPr>
    </w:p>
    <w:p>
      <w:pPr>
        <w:ind w:left="468" w:hanging="468"/>
        <w:spacing w:after="0"/>
        <w:tabs>
          <w:tab w:leader="none" w:pos="468" w:val="left"/>
        </w:tabs>
        <w:numPr>
          <w:ilvl w:val="0"/>
          <w:numId w:val="1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旋光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jc w:val="both"/>
        <w:ind w:left="8" w:right="20" w:firstLine="299"/>
        <w:spacing w:after="0" w:line="1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手性分子与偏振光相互作用。当单色线偏振辐射穿过手性样品，偏振面由角度偏离</w:t>
      </w:r>
      <w:r>
        <w:rPr>
          <w:rFonts w:ascii="Arial" w:cs="Arial" w:eastAsia="Arial" w:hAnsi="Arial"/>
          <w:sz w:val="24"/>
          <w:szCs w:val="24"/>
          <w:color w:val="auto"/>
          <w:vertAlign w:val="subscript"/>
        </w:rPr>
        <w:t>EXP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。在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的混合物的情况下 </w:t>
      </w:r>
      <w:r>
        <w:rPr>
          <w:rFonts w:ascii="Arial" w:cs="Arial" w:eastAsia="Arial" w:hAnsi="Arial"/>
          <w:sz w:val="18"/>
          <w:szCs w:val="18"/>
          <w:color w:val="auto"/>
        </w:rPr>
        <w:t>ķ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手性成分，我们的关系 </w:t>
      </w:r>
      <w:r>
        <w:rPr>
          <w:rFonts w:ascii="Arial" w:cs="Arial" w:eastAsia="Arial" w:hAnsi="Arial"/>
          <w:sz w:val="13"/>
          <w:szCs w:val="13"/>
          <w:color w:val="auto"/>
        </w:rPr>
        <w:t>比奥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：</w:t>
      </w:r>
    </w:p>
    <w:p>
      <w:pPr>
        <w:spacing w:after="0" w:line="169" w:lineRule="exact"/>
        <w:rPr>
          <w:sz w:val="24"/>
          <w:szCs w:val="24"/>
          <w:color w:val="auto"/>
        </w:rPr>
      </w:pPr>
    </w:p>
    <w:tbl>
      <w:tblPr>
        <w:tblLayout w:type="fixed"/>
        <w:tblInd w:w="308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1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940" w:type="dxa"/>
            <w:vAlign w:val="bottom"/>
          </w:tcPr>
          <w:p>
            <w:pPr>
              <w:jc w:val="center"/>
              <w:ind w:right="45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ķ</w:t>
            </w:r>
          </w:p>
        </w:tc>
      </w:tr>
      <w:tr>
        <w:trPr>
          <w:trHeight w:val="5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940" w:type="dxa"/>
            <w:vAlign w:val="bottom"/>
          </w:tcPr>
          <w:p>
            <w:pPr>
              <w:jc w:val="center"/>
              <w:ind w:right="4555"/>
              <w:spacing w:after="0" w:line="5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X</w:t>
            </w:r>
            <w:r>
              <w:rPr>
                <w:rFonts w:ascii="Arial" w:cs="Arial" w:eastAsia="Arial" w:hAnsi="Arial"/>
                <w:sz w:val="6"/>
                <w:szCs w:val="6"/>
                <w:color w:val="auto"/>
                <w:vertAlign w:val="subscript"/>
              </w:rPr>
              <w:t>我</w:t>
            </w:r>
          </w:p>
        </w:tc>
      </w:tr>
      <w:tr>
        <w:trPr>
          <w:trHeight w:val="28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ind w:left="2860"/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vertAlign w:val="subscript"/>
              </w:rPr>
              <w:t>EXP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= 1</w:t>
            </w:r>
          </w:p>
        </w:tc>
        <w:tc>
          <w:tcPr>
            <w:tcW w:w="4940" w:type="dxa"/>
            <w:vAlign w:val="bottom"/>
          </w:tcPr>
          <w:p>
            <w:pPr>
              <w:jc w:val="center"/>
              <w:ind w:right="3515"/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[] 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vertAlign w:val="superscript"/>
              </w:rPr>
              <w:t>我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ç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vertAlign w:val="subscript"/>
              </w:rPr>
              <w:t>M I</w:t>
            </w:r>
          </w:p>
        </w:tc>
      </w:tr>
      <w:tr>
        <w:trPr>
          <w:trHeight w:val="175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940" w:type="dxa"/>
            <w:vAlign w:val="bottom"/>
          </w:tcPr>
          <w:p>
            <w:pPr>
              <w:jc w:val="right"/>
              <w:ind w:right="45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= 1</w:t>
            </w:r>
          </w:p>
        </w:tc>
      </w:tr>
      <w:tr>
        <w:trPr>
          <w:trHeight w:val="419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哪里 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[]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vertAlign w:val="superscript"/>
              </w:rPr>
              <w:t>我</w:t>
            </w:r>
          </w:p>
        </w:tc>
        <w:tc>
          <w:tcPr>
            <w:tcW w:w="8540" w:type="dxa"/>
            <w:vAlign w:val="bottom"/>
            <w:gridSpan w:val="2"/>
          </w:tcPr>
          <w:p>
            <w:pPr>
              <w:jc w:val="center"/>
              <w:spacing w:after="0" w:line="40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auto"/>
                <w:w w:val="72"/>
                <w:vertAlign w:val="subscript"/>
              </w:rPr>
              <w:t>是具体的旋光</w:t>
            </w:r>
            <w:r>
              <w:rPr>
                <w:rFonts w:ascii="PMingLiU" w:cs="PMingLiU" w:eastAsia="PMingLiU" w:hAnsi="PMingLiU"/>
                <w:sz w:val="44"/>
                <w:szCs w:val="44"/>
                <w:color w:val="auto"/>
                <w:w w:val="72"/>
                <w:vertAlign w:val="subscript"/>
              </w:rPr>
              <w:t/>
            </w:r>
            <w:r>
              <w:rPr>
                <w:rFonts w:ascii="Arial" w:cs="Arial" w:eastAsia="Arial" w:hAnsi="Arial"/>
                <w:sz w:val="44"/>
                <w:szCs w:val="44"/>
                <w:color w:val="auto"/>
                <w:w w:val="72"/>
                <w:vertAlign w:val="subscript"/>
              </w:rPr>
              <w:t>该组件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  <w:w w:val="72"/>
              </w:rPr>
              <w:t xml:space="preserve">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2"/>
                <w:vertAlign w:val="superscript"/>
              </w:rPr>
              <w:t>我</w:t>
            </w:r>
            <w:r>
              <w:rPr>
                <w:rFonts w:ascii="Arial" w:cs="Arial" w:eastAsia="Arial" w:hAnsi="Arial"/>
                <w:sz w:val="44"/>
                <w:szCs w:val="44"/>
                <w:color w:val="auto"/>
                <w:w w:val="72"/>
                <w:vertAlign w:val="superscript"/>
              </w:rPr>
              <w:t>，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  <w:w w:val="72"/>
              </w:rPr>
              <w:t xml:space="preserve">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2"/>
                <w:vertAlign w:val="superscript"/>
              </w:rPr>
              <w:t>ç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  <w:w w:val="72"/>
              </w:rPr>
              <w:t xml:space="preserve">M I </w:t>
            </w:r>
            <w:r>
              <w:rPr>
                <w:rFonts w:ascii="Arial" w:cs="Arial" w:eastAsia="Arial" w:hAnsi="Arial"/>
                <w:sz w:val="44"/>
                <w:szCs w:val="44"/>
                <w:color w:val="auto"/>
                <w:w w:val="72"/>
                <w:vertAlign w:val="superscript"/>
              </w:rPr>
              <w:t>（在克L-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  <w:w w:val="72"/>
              </w:rPr>
              <w:t xml:space="preserve"> 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72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44"/>
                <w:szCs w:val="44"/>
                <w:color w:val="auto"/>
                <w:w w:val="72"/>
                <w:vertAlign w:val="superscript"/>
              </w:rPr>
              <w:t>）的质量浓度</w:t>
            </w:r>
          </w:p>
        </w:tc>
      </w:tr>
    </w:tbl>
    <w:p>
      <w:pPr>
        <w:ind w:left="8"/>
        <w:spacing w:after="0" w:line="1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部件 </w:t>
      </w:r>
      <w:r>
        <w:rPr>
          <w:rFonts w:ascii="Arial" w:cs="Arial" w:eastAsia="Arial" w:hAnsi="Arial"/>
          <w:sz w:val="18"/>
          <w:szCs w:val="18"/>
          <w:color w:val="auto"/>
        </w:rPr>
        <w:t>我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解决方案和 </w:t>
      </w:r>
      <w:r>
        <w:rPr>
          <w:rFonts w:ascii="Arial" w:cs="Arial" w:eastAsia="Arial" w:hAnsi="Arial"/>
          <w:sz w:val="18"/>
          <w:szCs w:val="18"/>
          <w:color w:val="auto"/>
        </w:rPr>
        <w:t>升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容器（DM）的长度。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30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化工：</w:t>
      </w:r>
    </w:p>
    <w:p>
      <w:pPr>
        <w:ind w:left="508" w:hanging="309"/>
        <w:spacing w:after="0" w:line="184" w:lineRule="auto"/>
        <w:tabs>
          <w:tab w:leader="none" w:pos="508" w:val="left"/>
        </w:tabs>
        <w:numPr>
          <w:ilvl w:val="0"/>
          <w:numId w:val="2"/>
        </w:numPr>
        <w:rPr>
          <w:rFonts w:ascii="PMingLiU" w:cs="PMingLiU" w:eastAsia="PMingLiU" w:hAnsi="PMingLiU"/>
          <w:sz w:val="21"/>
          <w:szCs w:val="2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[R</w:t>
      </w:r>
      <w:r>
        <w:rPr>
          <w:rFonts w:ascii="Arial" w:cs="Arial" w:eastAsia="Arial" w:hAnsi="Arial"/>
          <w:sz w:val="20"/>
          <w:szCs w:val="20"/>
          <w:color w:val="auto"/>
        </w:rPr>
        <w:t>- （ - ） - 扁桃酸：C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8</w:t>
      </w:r>
      <w:r>
        <w:rPr>
          <w:rFonts w:ascii="Arial" w:cs="Arial" w:eastAsia="Arial" w:hAnsi="Arial"/>
          <w:sz w:val="20"/>
          <w:szCs w:val="20"/>
          <w:color w:val="auto"/>
        </w:rPr>
        <w:t>^ h</w:t>
      </w:r>
      <w:r>
        <w:rPr>
          <w:rFonts w:ascii="Arial" w:cs="Arial" w:eastAsia="Arial" w:hAnsi="Arial"/>
          <w:sz w:val="19"/>
          <w:szCs w:val="19"/>
          <w:color w:val="auto"/>
          <w:vertAlign w:val="subscript"/>
        </w:rPr>
        <w:t>8</w:t>
      </w:r>
      <w:r>
        <w:rPr>
          <w:rFonts w:ascii="Arial" w:cs="Arial" w:eastAsia="Arial" w:hAnsi="Arial"/>
          <w:sz w:val="20"/>
          <w:szCs w:val="20"/>
          <w:color w:val="auto"/>
        </w:rPr>
        <w:t>Ø</w:t>
      </w:r>
      <w:r>
        <w:rPr>
          <w:rFonts w:ascii="Arial" w:cs="Arial" w:eastAsia="Arial" w:hAnsi="Arial"/>
          <w:sz w:val="19"/>
          <w:szCs w:val="19"/>
          <w:color w:val="auto"/>
          <w:vertAlign w:val="subscript"/>
        </w:rPr>
        <w:t>3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;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中号 </w:t>
      </w:r>
      <w:r>
        <w:rPr>
          <w:rFonts w:ascii="Arial" w:cs="Arial" w:eastAsia="Arial" w:hAnsi="Arial"/>
          <w:sz w:val="20"/>
          <w:szCs w:val="20"/>
          <w:color w:val="auto"/>
        </w:rPr>
        <w:t>= 152,15克摩尔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9"/>
          <w:szCs w:val="9"/>
          <w:color w:val="auto"/>
        </w:rPr>
        <w:t>1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;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Ť</w:t>
      </w:r>
      <w:r>
        <w:rPr>
          <w:rFonts w:ascii="Arial" w:cs="Arial" w:eastAsia="Arial" w:hAnsi="Arial"/>
          <w:sz w:val="25"/>
          <w:szCs w:val="25"/>
          <w:color w:val="auto"/>
          <w:vertAlign w:val="subscript"/>
        </w:rPr>
        <w:t>是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= </w:t>
      </w:r>
      <w:r>
        <w:rPr>
          <w:rFonts w:ascii="Arial" w:cs="Arial" w:eastAsia="Arial" w:hAnsi="Arial"/>
          <w:sz w:val="20"/>
          <w:szCs w:val="20"/>
          <w:color w:val="auto"/>
        </w:rPr>
        <w:t>132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40"/>
          <w:szCs w:val="40"/>
          <w:color w:val="auto"/>
          <w:vertAlign w:val="superscript"/>
        </w:rPr>
        <w:t>℃; 可溶性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小号 </w:t>
      </w:r>
      <w:r>
        <w:rPr>
          <w:rFonts w:ascii="Arial" w:cs="Arial" w:eastAsia="Arial" w:hAnsi="Arial"/>
          <w:sz w:val="20"/>
          <w:szCs w:val="20"/>
          <w:color w:val="auto"/>
        </w:rPr>
        <w:t>= 15克/ 100毫升。</w:t>
      </w:r>
    </w:p>
    <w:p>
      <w:pPr>
        <w:spacing w:after="0" w:line="47" w:lineRule="exact"/>
        <w:rPr>
          <w:rFonts w:ascii="PMingLiU" w:cs="PMingLiU" w:eastAsia="PMingLiU" w:hAnsi="PMingLiU"/>
          <w:sz w:val="21"/>
          <w:szCs w:val="21"/>
          <w:color w:val="auto"/>
        </w:rPr>
      </w:pPr>
    </w:p>
    <w:p>
      <w:pPr>
        <w:ind w:left="508" w:hanging="309"/>
        <w:spacing w:after="0" w:line="181" w:lineRule="auto"/>
        <w:tabs>
          <w:tab w:leader="none" w:pos="508" w:val="left"/>
        </w:tabs>
        <w:numPr>
          <w:ilvl w:val="0"/>
          <w:numId w:val="2"/>
        </w:numPr>
        <w:rPr>
          <w:rFonts w:ascii="PMingLiU" w:cs="PMingLiU" w:eastAsia="PMingLiU" w:hAnsi="PMingLiU"/>
          <w:sz w:val="17"/>
          <w:szCs w:val="17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小号</w:t>
      </w:r>
      <w:r>
        <w:rPr>
          <w:rFonts w:ascii="Arial" w:cs="Arial" w:eastAsia="Arial" w:hAnsi="Arial"/>
          <w:sz w:val="16"/>
          <w:szCs w:val="16"/>
          <w:color w:val="auto"/>
        </w:rPr>
        <w:t>- （+） - 扁桃酸：C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8</w:t>
      </w:r>
      <w:r>
        <w:rPr>
          <w:rFonts w:ascii="Arial" w:cs="Arial" w:eastAsia="Arial" w:hAnsi="Arial"/>
          <w:sz w:val="16"/>
          <w:szCs w:val="16"/>
          <w:color w:val="auto"/>
        </w:rPr>
        <w:t>^ h</w:t>
      </w:r>
      <w:r>
        <w:rPr>
          <w:rFonts w:ascii="Arial" w:cs="Arial" w:eastAsia="Arial" w:hAnsi="Arial"/>
          <w:sz w:val="15"/>
          <w:szCs w:val="15"/>
          <w:color w:val="auto"/>
          <w:vertAlign w:val="subscript"/>
        </w:rPr>
        <w:t>8</w:t>
      </w:r>
      <w:r>
        <w:rPr>
          <w:rFonts w:ascii="Arial" w:cs="Arial" w:eastAsia="Arial" w:hAnsi="Arial"/>
          <w:sz w:val="16"/>
          <w:szCs w:val="16"/>
          <w:color w:val="auto"/>
        </w:rPr>
        <w:t>Ø</w:t>
      </w:r>
      <w:r>
        <w:rPr>
          <w:rFonts w:ascii="Arial" w:cs="Arial" w:eastAsia="Arial" w:hAnsi="Arial"/>
          <w:sz w:val="15"/>
          <w:szCs w:val="15"/>
          <w:color w:val="auto"/>
          <w:vertAlign w:val="subscript"/>
        </w:rPr>
        <w:t>3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</w:t>
      </w:r>
      <w:r>
        <w:rPr>
          <w:rFonts w:ascii="Arial" w:cs="Arial" w:eastAsia="Arial" w:hAnsi="Arial"/>
          <w:sz w:val="16"/>
          <w:szCs w:val="16"/>
          <w:color w:val="auto"/>
        </w:rPr>
        <w:t>;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中号 </w:t>
      </w:r>
      <w:r>
        <w:rPr>
          <w:rFonts w:ascii="Arial" w:cs="Arial" w:eastAsia="Arial" w:hAnsi="Arial"/>
          <w:sz w:val="16"/>
          <w:szCs w:val="16"/>
          <w:color w:val="auto"/>
        </w:rPr>
        <w:t>= 152,15克摩尔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</w:t>
      </w:r>
      <w:r>
        <w:rPr>
          <w:rFonts w:ascii="Arial" w:cs="Arial" w:eastAsia="Arial" w:hAnsi="Arial"/>
          <w:sz w:val="8"/>
          <w:szCs w:val="8"/>
          <w:color w:val="auto"/>
        </w:rPr>
        <w:t>1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</w:t>
      </w:r>
      <w:r>
        <w:rPr>
          <w:rFonts w:ascii="Arial" w:cs="Arial" w:eastAsia="Arial" w:hAnsi="Arial"/>
          <w:sz w:val="16"/>
          <w:szCs w:val="16"/>
          <w:color w:val="auto"/>
        </w:rPr>
        <w:t>;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Ť</w:t>
      </w:r>
      <w:r>
        <w:rPr>
          <w:rFonts w:ascii="Arial" w:cs="Arial" w:eastAsia="Arial" w:hAnsi="Arial"/>
          <w:sz w:val="19"/>
          <w:szCs w:val="19"/>
          <w:color w:val="auto"/>
          <w:vertAlign w:val="subscript"/>
        </w:rPr>
        <w:t>是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= </w:t>
      </w:r>
      <w:r>
        <w:rPr>
          <w:rFonts w:ascii="Arial" w:cs="Arial" w:eastAsia="Arial" w:hAnsi="Arial"/>
          <w:sz w:val="16"/>
          <w:szCs w:val="16"/>
          <w:color w:val="auto"/>
        </w:rPr>
        <w:t>132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</w:t>
      </w:r>
      <w:r>
        <w:rPr>
          <w:rFonts w:ascii="Arial" w:cs="Arial" w:eastAsia="Arial" w:hAnsi="Arial"/>
          <w:sz w:val="30"/>
          <w:szCs w:val="30"/>
          <w:color w:val="auto"/>
          <w:vertAlign w:val="superscript"/>
        </w:rPr>
        <w:t>℃; 可溶性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小号 </w:t>
      </w:r>
      <w:r>
        <w:rPr>
          <w:rFonts w:ascii="Arial" w:cs="Arial" w:eastAsia="Arial" w:hAnsi="Arial"/>
          <w:sz w:val="16"/>
          <w:szCs w:val="16"/>
          <w:color w:val="auto"/>
        </w:rPr>
        <w:t>= 15克/ 100毫升。</w:t>
      </w:r>
    </w:p>
    <w:p>
      <w:pPr>
        <w:spacing w:after="0" w:line="47" w:lineRule="exact"/>
        <w:rPr>
          <w:rFonts w:ascii="PMingLiU" w:cs="PMingLiU" w:eastAsia="PMingLiU" w:hAnsi="PMingLiU"/>
          <w:sz w:val="17"/>
          <w:szCs w:val="17"/>
          <w:color w:val="auto"/>
        </w:rPr>
      </w:pPr>
    </w:p>
    <w:p>
      <w:pPr>
        <w:ind w:left="508" w:hanging="309"/>
        <w:spacing w:after="0" w:line="181" w:lineRule="auto"/>
        <w:tabs>
          <w:tab w:leader="none" w:pos="508" w:val="left"/>
        </w:tabs>
        <w:numPr>
          <w:ilvl w:val="0"/>
          <w:numId w:val="2"/>
        </w:numPr>
        <w:rPr>
          <w:rFonts w:ascii="PMingLiU" w:cs="PMingLiU" w:eastAsia="PMingLiU" w:hAnsi="PMingLiU"/>
          <w:sz w:val="17"/>
          <w:szCs w:val="17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（）扁桃酸，Acide：C</w:t>
      </w:r>
      <w:r>
        <w:rPr>
          <w:rFonts w:ascii="Arial" w:cs="Arial" w:eastAsia="Arial" w:hAnsi="Arial"/>
          <w:sz w:val="14"/>
          <w:szCs w:val="14"/>
          <w:color w:val="auto"/>
          <w:vertAlign w:val="subscript"/>
        </w:rPr>
        <w:t>8</w:t>
      </w:r>
      <w:r>
        <w:rPr>
          <w:rFonts w:ascii="Arial" w:cs="Arial" w:eastAsia="Arial" w:hAnsi="Arial"/>
          <w:sz w:val="17"/>
          <w:szCs w:val="17"/>
          <w:color w:val="auto"/>
        </w:rPr>
        <w:t>^ h</w:t>
      </w:r>
      <w:r>
        <w:rPr>
          <w:rFonts w:ascii="Arial" w:cs="Arial" w:eastAsia="Arial" w:hAnsi="Arial"/>
          <w:sz w:val="14"/>
          <w:szCs w:val="14"/>
          <w:color w:val="auto"/>
          <w:vertAlign w:val="subscript"/>
        </w:rPr>
        <w:t>8</w:t>
      </w:r>
      <w:r>
        <w:rPr>
          <w:rFonts w:ascii="Arial" w:cs="Arial" w:eastAsia="Arial" w:hAnsi="Arial"/>
          <w:sz w:val="17"/>
          <w:szCs w:val="17"/>
          <w:color w:val="auto"/>
        </w:rPr>
        <w:t>Ø</w:t>
      </w:r>
      <w:r>
        <w:rPr>
          <w:rFonts w:ascii="Arial" w:cs="Arial" w:eastAsia="Arial" w:hAnsi="Arial"/>
          <w:sz w:val="14"/>
          <w:szCs w:val="14"/>
          <w:color w:val="auto"/>
          <w:vertAlign w:val="subscript"/>
        </w:rPr>
        <w:t>3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; </w:t>
      </w:r>
      <w:r>
        <w:rPr>
          <w:rFonts w:ascii="Arial" w:cs="Arial" w:eastAsia="Arial" w:hAnsi="Arial"/>
          <w:sz w:val="14"/>
          <w:szCs w:val="14"/>
          <w:color w:val="auto"/>
        </w:rPr>
        <w:t>中号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= 152,15克摩尔 </w:t>
      </w:r>
      <w:r>
        <w:rPr>
          <w:rFonts w:ascii="Arial" w:cs="Arial" w:eastAsia="Arial" w:hAnsi="Arial"/>
          <w:sz w:val="8"/>
          <w:szCs w:val="8"/>
          <w:color w:val="auto"/>
        </w:rPr>
        <w:t>1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; </w:t>
      </w:r>
      <w:r>
        <w:rPr>
          <w:rFonts w:ascii="Arial" w:cs="Arial" w:eastAsia="Arial" w:hAnsi="Arial"/>
          <w:sz w:val="14"/>
          <w:szCs w:val="14"/>
          <w:color w:val="auto"/>
        </w:rPr>
        <w:t>Ť</w:t>
      </w:r>
      <w:r>
        <w:rPr>
          <w:rFonts w:ascii="Arial" w:cs="Arial" w:eastAsia="Arial" w:hAnsi="Arial"/>
          <w:sz w:val="19"/>
          <w:szCs w:val="19"/>
          <w:color w:val="auto"/>
          <w:vertAlign w:val="subscript"/>
        </w:rPr>
        <w:t>是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</w:t>
      </w:r>
      <w:r>
        <w:rPr>
          <w:rFonts w:ascii="Arial" w:cs="Arial" w:eastAsia="Arial" w:hAnsi="Arial"/>
          <w:sz w:val="14"/>
          <w:szCs w:val="14"/>
          <w:color w:val="auto"/>
        </w:rPr>
        <w:t>=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132 </w:t>
      </w:r>
      <w:r>
        <w:rPr>
          <w:rFonts w:ascii="Arial" w:cs="Arial" w:eastAsia="Arial" w:hAnsi="Arial"/>
          <w:sz w:val="30"/>
          <w:szCs w:val="30"/>
          <w:color w:val="auto"/>
          <w:vertAlign w:val="superscript"/>
        </w:rPr>
        <w:t>℃; 可溶性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</w:t>
      </w:r>
      <w:r>
        <w:rPr>
          <w:rFonts w:ascii="Arial" w:cs="Arial" w:eastAsia="Arial" w:hAnsi="Arial"/>
          <w:sz w:val="14"/>
          <w:szCs w:val="14"/>
          <w:color w:val="auto"/>
        </w:rPr>
        <w:t>小号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= 15克/ 100毫升。</w:t>
      </w:r>
    </w:p>
    <w:p>
      <w:pPr>
        <w:spacing w:after="0" w:line="56" w:lineRule="exact"/>
        <w:rPr>
          <w:sz w:val="24"/>
          <w:szCs w:val="24"/>
          <w:color w:val="auto"/>
        </w:rPr>
      </w:pPr>
    </w:p>
    <w:p>
      <w:pPr>
        <w:ind w:left="30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处理：</w:t>
      </w:r>
    </w:p>
    <w:p>
      <w:pPr>
        <w:spacing w:after="0" w:line="95" w:lineRule="exact"/>
        <w:rPr>
          <w:sz w:val="24"/>
          <w:szCs w:val="24"/>
          <w:color w:val="auto"/>
        </w:rPr>
      </w:pPr>
    </w:p>
    <w:p>
      <w:pPr>
        <w:ind w:left="488" w:hanging="244"/>
        <w:spacing w:after="0"/>
        <w:tabs>
          <w:tab w:leader="none" w:pos="488" w:val="left"/>
        </w:tabs>
        <w:numPr>
          <w:ilvl w:val="0"/>
          <w:numId w:val="3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 xml:space="preserve">准备三种溶液质量浓度4.00; 10.0至20.0克L-</w:t>
      </w:r>
      <w:r>
        <w:rPr>
          <w:rFonts w:ascii="Arial" w:cs="Arial" w:eastAsia="Arial" w:hAnsi="Arial"/>
          <w:sz w:val="8"/>
          <w:szCs w:val="8"/>
          <w:color w:val="auto"/>
        </w:rPr>
        <w:t>1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的 </w:t>
      </w:r>
      <w:r>
        <w:rPr>
          <w:rFonts w:ascii="Arial" w:cs="Arial" w:eastAsia="Arial" w:hAnsi="Arial"/>
          <w:sz w:val="17"/>
          <w:szCs w:val="17"/>
          <w:color w:val="auto"/>
        </w:rPr>
        <w:t>[R</w:t>
      </w:r>
      <w:r>
        <w:rPr>
          <w:rFonts w:ascii="Arial" w:cs="Arial" w:eastAsia="Arial" w:hAnsi="Arial"/>
          <w:sz w:val="19"/>
          <w:szCs w:val="19"/>
          <w:color w:val="auto"/>
        </w:rPr>
        <w:t>- （ - ） - 扁桃酸。</w:t>
      </w:r>
    </w:p>
    <w:p>
      <w:pPr>
        <w:spacing w:after="0" w:line="125" w:lineRule="exact"/>
        <w:rPr>
          <w:rFonts w:ascii="Arial" w:cs="Arial" w:eastAsia="Arial" w:hAnsi="Arial"/>
          <w:sz w:val="19"/>
          <w:szCs w:val="19"/>
          <w:color w:val="auto"/>
        </w:rPr>
      </w:pPr>
    </w:p>
    <w:p>
      <w:pPr>
        <w:ind w:left="508" w:right="60" w:hanging="264"/>
        <w:spacing w:after="0" w:line="214" w:lineRule="exact"/>
        <w:tabs>
          <w:tab w:leader="none" w:pos="507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推导出特定旋光</w:t>
      </w:r>
      <w:r>
        <w:rPr>
          <w:rFonts w:ascii="PMingLiU" w:cs="PMingLiU" w:eastAsia="PMingLiU" w:hAnsi="PMingLiU"/>
          <w:sz w:val="22"/>
          <w:szCs w:val="22"/>
          <w:color w:val="auto"/>
        </w:rPr>
        <w:t/>
      </w:r>
      <w:r>
        <w:rPr>
          <w:rFonts w:ascii="Arial" w:cs="Arial" w:eastAsia="Arial" w:hAnsi="Arial"/>
          <w:sz w:val="22"/>
          <w:szCs w:val="22"/>
          <w:color w:val="auto"/>
        </w:rPr>
        <w:t xml:space="preserve">该 </w:t>
      </w:r>
      <w:r>
        <w:rPr>
          <w:rFonts w:ascii="Arial" w:cs="Arial" w:eastAsia="Arial" w:hAnsi="Arial"/>
          <w:sz w:val="19"/>
          <w:szCs w:val="19"/>
          <w:color w:val="auto"/>
        </w:rPr>
        <w:t>[R</w:t>
      </w:r>
      <w:r>
        <w:rPr>
          <w:rFonts w:ascii="Arial" w:cs="Arial" w:eastAsia="Arial" w:hAnsi="Arial"/>
          <w:sz w:val="22"/>
          <w:szCs w:val="22"/>
          <w:color w:val="auto"/>
        </w:rPr>
        <w:t> - （ - ） - 扁桃酸在操作条件。评估的不确定性。</w:t>
      </w:r>
    </w:p>
    <w:p>
      <w:pPr>
        <w:spacing w:after="0" w:line="10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508" w:right="20" w:hanging="264"/>
        <w:spacing w:after="0" w:line="226" w:lineRule="exact"/>
        <w:tabs>
          <w:tab w:leader="none" w:pos="507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制备20.0克L-溶液 </w:t>
      </w:r>
      <w:r>
        <w:rPr>
          <w:rFonts w:ascii="Arial" w:cs="Arial" w:eastAsia="Arial" w:hAnsi="Arial"/>
          <w:sz w:val="9"/>
          <w:szCs w:val="9"/>
          <w:color w:val="auto"/>
        </w:rPr>
        <w:t>1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的 </w:t>
      </w:r>
      <w:r>
        <w:rPr>
          <w:rFonts w:ascii="Arial" w:cs="Arial" w:eastAsia="Arial" w:hAnsi="Arial"/>
          <w:sz w:val="19"/>
          <w:szCs w:val="19"/>
          <w:color w:val="auto"/>
        </w:rPr>
        <w:t>小号</w:t>
      </w:r>
      <w:r>
        <w:rPr>
          <w:rFonts w:ascii="Arial" w:cs="Arial" w:eastAsia="Arial" w:hAnsi="Arial"/>
          <w:sz w:val="22"/>
          <w:szCs w:val="22"/>
          <w:color w:val="auto"/>
        </w:rPr>
        <w:t> - （+） - 扁桃酸和测量其旋光酸。推导出特定旋光</w:t>
      </w:r>
      <w:r>
        <w:rPr>
          <w:rFonts w:ascii="PMingLiU" w:cs="PMingLiU" w:eastAsia="PMingLiU" w:hAnsi="PMingLiU"/>
          <w:sz w:val="22"/>
          <w:szCs w:val="22"/>
          <w:color w:val="auto"/>
        </w:rPr>
        <w:t/>
      </w:r>
      <w:r>
        <w:rPr>
          <w:rFonts w:ascii="Arial" w:cs="Arial" w:eastAsia="Arial" w:hAnsi="Arial"/>
          <w:sz w:val="22"/>
          <w:szCs w:val="22"/>
          <w:color w:val="auto"/>
        </w:rPr>
        <w:t xml:space="preserve">该 </w:t>
      </w:r>
      <w:r>
        <w:rPr>
          <w:rFonts w:ascii="Arial" w:cs="Arial" w:eastAsia="Arial" w:hAnsi="Arial"/>
          <w:sz w:val="19"/>
          <w:szCs w:val="19"/>
          <w:color w:val="auto"/>
        </w:rPr>
        <w:t>小号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 （+） - 扁桃酸。它是对映体</w:t>
      </w:r>
      <w:r>
        <w:rPr>
          <w:rFonts w:ascii="Arial" w:cs="Arial" w:eastAsia="Arial" w:hAnsi="Arial"/>
          <w:sz w:val="19"/>
          <w:szCs w:val="19"/>
          <w:color w:val="auto"/>
        </w:rPr>
        <w:t>[R</w:t>
      </w:r>
      <w:r>
        <w:rPr>
          <w:rFonts w:ascii="Arial" w:cs="Arial" w:eastAsia="Arial" w:hAnsi="Arial"/>
          <w:sz w:val="22"/>
          <w:szCs w:val="22"/>
          <w:color w:val="auto"/>
        </w:rPr>
        <w:t>- （ - ） - 扁桃酸？</w:t>
      </w:r>
    </w:p>
    <w:p>
      <w:pPr>
        <w:spacing w:after="0" w:line="2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488" w:hanging="244"/>
        <w:spacing w:after="0"/>
        <w:tabs>
          <w:tab w:leader="none" w:pos="488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制备20.0克L-溶液 </w:t>
      </w:r>
      <w:r>
        <w:rPr>
          <w:rFonts w:ascii="Arial" w:cs="Arial" w:eastAsia="Arial" w:hAnsi="Arial"/>
          <w:sz w:val="9"/>
          <w:szCs w:val="9"/>
          <w:color w:val="auto"/>
        </w:rPr>
        <w:t>1</w:t>
      </w:r>
      <w:r>
        <w:rPr>
          <w:rFonts w:ascii="Arial" w:cs="Arial" w:eastAsia="Arial" w:hAnsi="Arial"/>
          <w:sz w:val="20"/>
          <w:szCs w:val="20"/>
          <w:color w:val="auto"/>
        </w:rPr>
        <w:t xml:space="preserve">到（），Acide扁桃并测量其旋光。得出结论。</w:t>
      </w:r>
    </w:p>
    <w:p>
      <w:pPr>
        <w:spacing w:after="0" w:line="16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8" w:right="60" w:hanging="264"/>
        <w:spacing w:after="0" w:line="208" w:lineRule="auto"/>
        <w:tabs>
          <w:tab w:leader="none" w:pos="507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制备20.0克L-溶液 </w:t>
      </w:r>
      <w:r>
        <w:rPr>
          <w:rFonts w:ascii="Arial" w:cs="Arial" w:eastAsia="Arial" w:hAnsi="Arial"/>
          <w:sz w:val="9"/>
          <w:szCs w:val="9"/>
          <w:color w:val="auto"/>
        </w:rPr>
        <w:t>1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混合物 </w:t>
      </w:r>
      <w:r>
        <w:rPr>
          <w:rFonts w:ascii="Arial" w:cs="Arial" w:eastAsia="Arial" w:hAnsi="Arial"/>
          <w:sz w:val="19"/>
          <w:szCs w:val="19"/>
          <w:color w:val="auto"/>
        </w:rPr>
        <w:t>中号</w:t>
      </w:r>
      <w:r>
        <w:rPr>
          <w:rFonts w:ascii="Arial" w:cs="Arial" w:eastAsia="Arial" w:hAnsi="Arial"/>
          <w:sz w:val="22"/>
          <w:szCs w:val="22"/>
          <w:color w:val="auto"/>
        </w:rPr>
        <w:t xml:space="preserve">并测量其旋光。计算对映体过量。</w:t>
      </w:r>
    </w:p>
    <w:p>
      <w:pPr>
        <w:spacing w:after="0" w:line="370" w:lineRule="exact"/>
        <w:rPr>
          <w:sz w:val="24"/>
          <w:szCs w:val="24"/>
          <w:color w:val="auto"/>
        </w:rPr>
      </w:pPr>
    </w:p>
    <w:p>
      <w:pPr>
        <w:ind w:left="468" w:hanging="468"/>
        <w:spacing w:after="0"/>
        <w:tabs>
          <w:tab w:leader="none" w:pos="468" w:val="left"/>
        </w:tabs>
        <w:numPr>
          <w:ilvl w:val="0"/>
          <w:numId w:val="4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熔点测定</w:t>
      </w:r>
    </w:p>
    <w:p>
      <w:pPr>
        <w:spacing w:after="0" w:line="105" w:lineRule="exact"/>
        <w:rPr>
          <w:sz w:val="24"/>
          <w:szCs w:val="24"/>
          <w:color w:val="auto"/>
        </w:rPr>
      </w:pPr>
    </w:p>
    <w:p>
      <w:pPr>
        <w:ind w:left="30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初始测定温度：115℃。</w:t>
      </w: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ind w:left="30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温度斜坡：5 </w:t>
      </w:r>
      <w:r>
        <w:rPr>
          <w:rFonts w:ascii="Arial" w:cs="Arial" w:eastAsia="Arial" w:hAnsi="Arial"/>
          <w:sz w:val="44"/>
          <w:szCs w:val="44"/>
          <w:color w:val="auto"/>
          <w:vertAlign w:val="subscript"/>
        </w:rPr>
        <w:t>C最小值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18"/>
          <w:szCs w:val="18"/>
          <w:color w:val="auto"/>
          <w:vertAlign w:val="subscript"/>
        </w:rPr>
        <w:t>1</w:t>
      </w:r>
      <w:r>
        <w:rPr>
          <w:rFonts w:ascii="Arial" w:cs="Arial" w:eastAsia="Arial" w:hAnsi="Arial"/>
          <w:sz w:val="44"/>
          <w:szCs w:val="44"/>
          <w:color w:val="auto"/>
          <w:vertAlign w:val="subscript"/>
        </w:rPr>
        <w:t>。</w:t>
      </w:r>
    </w:p>
    <w:p>
      <w:pPr>
        <w:spacing w:after="0" w:line="314" w:lineRule="exact"/>
        <w:rPr>
          <w:sz w:val="24"/>
          <w:szCs w:val="24"/>
          <w:color w:val="auto"/>
        </w:rPr>
      </w:pPr>
    </w:p>
    <w:p>
      <w:pPr>
        <w:ind w:left="30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处理：</w:t>
      </w:r>
    </w:p>
    <w:p>
      <w:pPr>
        <w:spacing w:after="0" w:line="116" w:lineRule="exact"/>
        <w:rPr>
          <w:sz w:val="24"/>
          <w:szCs w:val="24"/>
          <w:color w:val="auto"/>
        </w:rPr>
      </w:pPr>
    </w:p>
    <w:p>
      <w:pPr>
        <w:ind w:left="508" w:hanging="309"/>
        <w:spacing w:after="0" w:line="202" w:lineRule="auto"/>
        <w:tabs>
          <w:tab w:leader="none" w:pos="508" w:val="left"/>
        </w:tabs>
        <w:numPr>
          <w:ilvl w:val="0"/>
          <w:numId w:val="5"/>
        </w:numPr>
        <w:rPr>
          <w:rFonts w:ascii="PMingLiU" w:cs="PMingLiU" w:eastAsia="PMingLiU" w:hAnsi="PMingLiU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测量的熔融温度 </w:t>
      </w:r>
      <w:r>
        <w:rPr>
          <w:rFonts w:ascii="Arial" w:cs="Arial" w:eastAsia="Arial" w:hAnsi="Arial"/>
          <w:sz w:val="19"/>
          <w:szCs w:val="19"/>
          <w:color w:val="auto"/>
        </w:rPr>
        <w:t>[R</w:t>
      </w:r>
      <w:r>
        <w:rPr>
          <w:rFonts w:ascii="Arial" w:cs="Arial" w:eastAsia="Arial" w:hAnsi="Arial"/>
          <w:sz w:val="22"/>
          <w:szCs w:val="22"/>
          <w:color w:val="auto"/>
        </w:rPr>
        <w:t xml:space="preserve">- （ - ） - 扁桃酸， </w:t>
      </w:r>
      <w:r>
        <w:rPr>
          <w:rFonts w:ascii="Arial" w:cs="Arial" w:eastAsia="Arial" w:hAnsi="Arial"/>
          <w:sz w:val="19"/>
          <w:szCs w:val="19"/>
          <w:color w:val="auto"/>
        </w:rPr>
        <w:t>小号</w:t>
      </w:r>
      <w:r>
        <w:rPr>
          <w:rFonts w:ascii="Arial" w:cs="Arial" w:eastAsia="Arial" w:hAnsi="Arial"/>
          <w:sz w:val="22"/>
          <w:szCs w:val="22"/>
          <w:color w:val="auto"/>
        </w:rPr>
        <w:t>- （+） - 扁桃酸和（），Acide扁桃。</w:t>
      </w:r>
    </w:p>
    <w:p>
      <w:pPr>
        <w:spacing w:after="0" w:line="375" w:lineRule="exact"/>
        <w:rPr>
          <w:sz w:val="24"/>
          <w:szCs w:val="24"/>
          <w:color w:val="auto"/>
        </w:rPr>
      </w:pPr>
    </w:p>
    <w:p>
      <w:pPr>
        <w:ind w:left="468" w:hanging="468"/>
        <w:spacing w:after="0"/>
        <w:tabs>
          <w:tab w:leader="none" w:pos="468" w:val="left"/>
        </w:tabs>
        <w:numPr>
          <w:ilvl w:val="0"/>
          <w:numId w:val="6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红外光谱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8" w:right="120" w:firstLine="299"/>
        <w:spacing w:after="0" w:line="21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我们将恢复先前合成的反应物和产物来衡量他们的红外光谱。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ind w:left="30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化工：</w:t>
      </w:r>
    </w:p>
    <w:p>
      <w:pPr>
        <w:spacing w:after="0" w:line="53" w:lineRule="exact"/>
        <w:rPr>
          <w:sz w:val="24"/>
          <w:szCs w:val="24"/>
          <w:color w:val="auto"/>
        </w:rPr>
      </w:pPr>
    </w:p>
    <w:p>
      <w:pPr>
        <w:ind w:left="508" w:hanging="309"/>
        <w:spacing w:after="0"/>
        <w:tabs>
          <w:tab w:leader="none" w:pos="508" w:val="left"/>
        </w:tabs>
        <w:numPr>
          <w:ilvl w:val="0"/>
          <w:numId w:val="7"/>
        </w:numPr>
        <w:rPr>
          <w:rFonts w:ascii="PMingLiU" w:cs="PMingLiU" w:eastAsia="PMingLiU" w:hAnsi="PMingLiU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二苯乙烯和溴化的产品。</w:t>
      </w:r>
    </w:p>
    <w:p>
      <w:pPr>
        <w:spacing w:after="0" w:line="41" w:lineRule="exact"/>
        <w:rPr>
          <w:rFonts w:ascii="PMingLiU" w:cs="PMingLiU" w:eastAsia="PMingLiU" w:hAnsi="PMingLiU"/>
          <w:sz w:val="22"/>
          <w:szCs w:val="22"/>
          <w:color w:val="auto"/>
        </w:rPr>
      </w:pPr>
    </w:p>
    <w:p>
      <w:pPr>
        <w:ind w:left="508" w:hanging="309"/>
        <w:spacing w:after="0"/>
        <w:tabs>
          <w:tab w:leader="none" w:pos="508" w:val="left"/>
        </w:tabs>
        <w:numPr>
          <w:ilvl w:val="0"/>
          <w:numId w:val="7"/>
        </w:numPr>
        <w:rPr>
          <w:rFonts w:ascii="PMingLiU" w:cs="PMingLiU" w:eastAsia="PMingLiU" w:hAnsi="PMingLiU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环己醇和产品脱水。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ind w:left="30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处理：</w:t>
      </w:r>
    </w:p>
    <w:p>
      <w:pPr>
        <w:sectPr>
          <w:pgSz w:w="11900" w:h="16838" w:orient="portrait"/>
          <w:cols w:equalWidth="0" w:num="1">
            <w:col w:w="9608"/>
          </w:cols>
          <w:pgMar w:left="1152" w:top="1440" w:right="1146" w:bottom="558" w:gutter="0" w:footer="0" w:header="0"/>
        </w:sectPr>
      </w:pP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ind w:left="488" w:hanging="244"/>
        <w:spacing w:after="0"/>
        <w:tabs>
          <w:tab w:leader="none" w:pos="488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准备反应物和产物。</w:t>
      </w:r>
    </w:p>
    <w:p>
      <w:pPr>
        <w:spacing w:after="0" w:line="7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488" w:hanging="244"/>
        <w:spacing w:after="0" w:line="231" w:lineRule="exact"/>
        <w:tabs>
          <w:tab w:leader="none" w:pos="488" w:val="left"/>
        </w:tabs>
        <w:numPr>
          <w:ilvl w:val="0"/>
          <w:numId w:val="8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二获取的红外光谱</w:t>
      </w:r>
      <w:r>
        <w:rPr>
          <w:rFonts w:ascii="PMingLiU" w:cs="PMingLiU" w:eastAsia="PMingLiU" w:hAnsi="PMingLiU"/>
          <w:sz w:val="19"/>
          <w:szCs w:val="19"/>
          <w:color w:val="auto"/>
        </w:rPr>
        <w:t/>
      </w:r>
      <w:r>
        <w:rPr>
          <w:rFonts w:ascii="Arial" w:cs="Arial" w:eastAsia="Arial" w:hAnsi="Arial"/>
          <w:sz w:val="19"/>
          <w:szCs w:val="19"/>
          <w:color w:val="auto"/>
        </w:rPr>
        <w:t>erent化合物。</w:t>
      </w:r>
    </w:p>
    <w:p>
      <w:pPr>
        <w:sectPr>
          <w:pgSz w:w="11900" w:h="16838" w:orient="portrait"/>
          <w:cols w:equalWidth="0" w:num="1">
            <w:col w:w="9608"/>
          </w:cols>
          <w:pgMar w:left="1152" w:top="1440" w:right="1146" w:bottom="558" w:gutter="0" w:footer="0" w:header="0"/>
          <w:type w:val="continuous"/>
        </w:sectPr>
      </w:pPr>
    </w:p>
    <w:bookmarkStart w:id="1" w:name="page2"/>
    <w:bookmarkEnd w:id="1"/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红外光谱和旋光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15875</wp:posOffset>
                </wp:positionV>
                <wp:extent cx="6096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2.1499pt,1.25pt" to="467.85pt,1.25pt" o:allowincell="f" strokecolor="#000000" strokeweight="0.39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244" w:hanging="244"/>
        <w:spacing w:after="0" w:line="267" w:lineRule="exact"/>
        <w:tabs>
          <w:tab w:leader="none" w:pos="244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分配振动的特征谱带上的二</w:t>
      </w:r>
      <w:r>
        <w:rPr>
          <w:rFonts w:ascii="PMingLiU" w:cs="PMingLiU" w:eastAsia="PMingLiU" w:hAnsi="PMingLiU"/>
          <w:sz w:val="22"/>
          <w:szCs w:val="22"/>
          <w:color w:val="auto"/>
        </w:rPr>
        <w:t/>
      </w:r>
      <w:r>
        <w:rPr>
          <w:rFonts w:ascii="Arial" w:cs="Arial" w:eastAsia="Arial" w:hAnsi="Arial"/>
          <w:sz w:val="22"/>
          <w:szCs w:val="22"/>
          <w:color w:val="auto"/>
        </w:rPr>
        <w:t>erent IR。</w:t>
      </w:r>
    </w:p>
    <w:p>
      <w:pPr>
        <w:spacing w:after="0" w:line="5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244" w:hanging="244"/>
        <w:spacing w:after="0"/>
        <w:tabs>
          <w:tab w:leader="none" w:pos="244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结束有关执行的反应。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133985</wp:posOffset>
                </wp:positionV>
                <wp:extent cx="565721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2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.1pt,10.55pt" to="450.55pt,10.5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131445</wp:posOffset>
                </wp:positionV>
                <wp:extent cx="0" cy="165163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651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.3pt,10.35pt" to="5.3pt,140.4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5719445</wp:posOffset>
                </wp:positionH>
                <wp:positionV relativeFrom="paragraph">
                  <wp:posOffset>131445</wp:posOffset>
                </wp:positionV>
                <wp:extent cx="0" cy="165163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651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0.35pt,10.35pt" to="450.35pt,140.4pt" o:allowincell="f" strokecolor="#000000" strokeweight="0.398pt"/>
            </w:pict>
          </mc:Fallback>
        </mc:AlternateConten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24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红外样品制备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jc w:val="both"/>
        <w:ind w:left="744" w:right="500" w:hanging="309"/>
        <w:spacing w:after="0" w:line="236" w:lineRule="exact"/>
        <w:tabs>
          <w:tab w:leader="none" w:pos="744" w:val="left"/>
        </w:tabs>
        <w:numPr>
          <w:ilvl w:val="0"/>
          <w:numId w:val="10"/>
        </w:numPr>
        <w:rPr>
          <w:rFonts w:ascii="PMingLiU" w:cs="PMingLiU" w:eastAsia="PMingLiU" w:hAnsi="PMingLiU"/>
          <w:sz w:val="22"/>
          <w:szCs w:val="22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 xml:space="preserve">复合固体： </w:t>
      </w:r>
      <w:r>
        <w:rPr>
          <w:rFonts w:ascii="Arial" w:cs="Arial" w:eastAsia="Arial" w:hAnsi="Arial"/>
          <w:sz w:val="22"/>
          <w:szCs w:val="22"/>
          <w:color w:val="auto"/>
        </w:rPr>
        <w:t>添加固体化合物一勺尖在研钵中。添加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8个刮刀溴化钾和混合使用研杵。放置在按载体的混合物的3个刮刀和7巴的压力下压缩该粉末1分钟，</w:t>
      </w:r>
      <w:r>
        <w:rPr>
          <w:rFonts w:ascii="PMingLiU" w:cs="PMingLiU" w:eastAsia="PMingLiU" w:hAnsi="PMingLiU"/>
          <w:sz w:val="22"/>
          <w:szCs w:val="22"/>
          <w:color w:val="auto"/>
        </w:rPr>
        <w:t/>
      </w:r>
      <w:r>
        <w:rPr>
          <w:rFonts w:ascii="Arial" w:cs="Arial" w:eastAsia="Arial" w:hAnsi="Arial"/>
          <w:sz w:val="22"/>
          <w:szCs w:val="22"/>
          <w:color w:val="auto"/>
        </w:rPr>
        <w:t>得到颗粒。保存在不存在晶片的，然后保存该粒料的IR谱的基准。</w:t>
      </w:r>
    </w:p>
    <w:p>
      <w:pPr>
        <w:spacing w:after="0" w:line="85" w:lineRule="exact"/>
        <w:rPr>
          <w:rFonts w:ascii="PMingLiU" w:cs="PMingLiU" w:eastAsia="PMingLiU" w:hAnsi="PMingLiU"/>
          <w:sz w:val="22"/>
          <w:szCs w:val="22"/>
          <w:color w:val="auto"/>
        </w:rPr>
      </w:pPr>
    </w:p>
    <w:p>
      <w:pPr>
        <w:jc w:val="both"/>
        <w:ind w:left="744" w:right="520" w:hanging="309"/>
        <w:spacing w:after="0" w:line="235" w:lineRule="exact"/>
        <w:tabs>
          <w:tab w:leader="none" w:pos="744" w:val="left"/>
        </w:tabs>
        <w:numPr>
          <w:ilvl w:val="0"/>
          <w:numId w:val="10"/>
        </w:numPr>
        <w:rPr>
          <w:rFonts w:ascii="PMingLiU" w:cs="PMingLiU" w:eastAsia="PMingLiU" w:hAnsi="PMingLiU"/>
          <w:sz w:val="22"/>
          <w:szCs w:val="22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 xml:space="preserve">液体化合物： </w:t>
      </w:r>
      <w:r>
        <w:rPr>
          <w:rFonts w:ascii="Arial" w:cs="Arial" w:eastAsia="Arial" w:hAnsi="Arial"/>
          <w:sz w:val="22"/>
          <w:szCs w:val="22"/>
          <w:color w:val="auto"/>
        </w:rPr>
        <w:t>将溴化钾3个铲在媒体的支持和压缩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7巴1分钟的压力下粉末，</w:t>
      </w:r>
      <w:r>
        <w:rPr>
          <w:rFonts w:ascii="PMingLiU" w:cs="PMingLiU" w:eastAsia="PMingLiU" w:hAnsi="PMingLiU"/>
          <w:sz w:val="22"/>
          <w:szCs w:val="22"/>
          <w:color w:val="auto"/>
        </w:rPr>
        <w:t/>
      </w:r>
      <w:r>
        <w:rPr>
          <w:rFonts w:ascii="Arial" w:cs="Arial" w:eastAsia="Arial" w:hAnsi="Arial"/>
          <w:sz w:val="22"/>
          <w:szCs w:val="22"/>
          <w:color w:val="auto"/>
        </w:rPr>
        <w:t>得到颗粒。寄存器参考，在KBr压片，然后添加液体化合物的下降，并记录该化合物的IR光谱。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33020</wp:posOffset>
                </wp:positionV>
                <wp:extent cx="565721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2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.1pt,2.6pt" to="450.55pt,2.6pt" o:allowincell="f" strokecolor="#000000" strokeweight="0.398pt"/>
            </w:pict>
          </mc:Fallback>
        </mc:AlternateContent>
      </w:r>
    </w:p>
    <w:sectPr>
      <w:pgSz w:w="11900" w:h="16838" w:orient="portrait"/>
      <w:cols w:equalWidth="0" w:num="1">
        <w:col w:w="9324"/>
      </w:cols>
      <w:pgMar w:left="1396" w:top="379" w:right="118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="http://schemas.openxmlformats.org/wordprocessingml/2006/main">
  <w:abstractNum w:abstractNumId="0">
    <w:nsid w:val="3D1B58BA"/>
    <w:multiLevelType w:val="hybridMultilevel"/>
    <w:lvl w:ilvl="0">
      <w:lvlJc w:val="left"/>
      <w:lvlText w:val="1"/>
      <w:numFmt w:val="bullet"/>
      <w:start w:val="1"/>
    </w:lvl>
  </w:abstractNum>
  <w:abstractNum w:abstractNumId="1">
    <w:nsid w:val="507ED7AB"/>
    <w:multiLevelType w:val="hybridMultilevel"/>
    <w:lvl w:ilvl="0">
      <w:lvlJc w:val="left"/>
      <w:lvlText w:val=""/>
      <w:numFmt w:val="bullet"/>
      <w:start w:val="1"/>
    </w:lvl>
  </w:abstractNum>
  <w:abstractNum w:abstractNumId="2">
    <w:nsid w:val="2EB141F2"/>
    <w:multiLevelType w:val="hybridMultilevel"/>
    <w:lvl w:ilvl="0">
      <w:lvlJc w:val="left"/>
      <w:lvlText w:val="%1."/>
      <w:numFmt w:val="decimal"/>
      <w:start w:val="1"/>
    </w:lvl>
  </w:abstractNum>
  <w:abstractNum w:abstractNumId="3">
    <w:nsid w:val="41B71EFB"/>
    <w:multiLevelType w:val="hybridMultilevel"/>
    <w:lvl w:ilvl="0">
      <w:lvlJc w:val="left"/>
      <w:lvlText w:val="2"/>
      <w:numFmt w:val="bullet"/>
      <w:start w:val="1"/>
    </w:lvl>
  </w:abstractNum>
  <w:abstractNum w:abstractNumId="4">
    <w:nsid w:val="79E2A9E3"/>
    <w:multiLevelType w:val="hybridMultilevel"/>
    <w:lvl w:ilvl="0">
      <w:lvlJc w:val="left"/>
      <w:lvlText w:val=""/>
      <w:numFmt w:val="bullet"/>
      <w:start w:val="1"/>
    </w:lvl>
  </w:abstractNum>
  <w:abstractNum w:abstractNumId="5">
    <w:nsid w:val="7545E146"/>
    <w:multiLevelType w:val="hybridMultilevel"/>
    <w:lvl w:ilvl="0">
      <w:lvlJc w:val="left"/>
      <w:lvlText w:val="3"/>
      <w:numFmt w:val="bullet"/>
      <w:start w:val="1"/>
    </w:lvl>
  </w:abstractNum>
  <w:abstractNum w:abstractNumId="6">
    <w:nsid w:val="515F007C"/>
    <w:multiLevelType w:val="hybridMultilevel"/>
    <w:lvl w:ilvl="0">
      <w:lvlJc w:val="left"/>
      <w:lvlText w:val=""/>
      <w:numFmt w:val="bullet"/>
      <w:start w:val="1"/>
    </w:lvl>
  </w:abstractNum>
  <w:abstractNum w:abstractNumId="7">
    <w:nsid w:val="5BD062C2"/>
    <w:multiLevelType w:val="hybridMultilevel"/>
    <w:lvl w:ilvl="0">
      <w:lvlJc w:val="left"/>
      <w:lvlText w:val="%1."/>
      <w:numFmt w:val="decimal"/>
      <w:start w:val="1"/>
    </w:lvl>
  </w:abstractNum>
  <w:abstractNum w:abstractNumId="8">
    <w:nsid w:val="12200854"/>
    <w:multiLevelType w:val="hybridMultilevel"/>
    <w:lvl w:ilvl="0">
      <w:lvlJc w:val="left"/>
      <w:lvlText w:val="%1."/>
      <w:numFmt w:val="decimal"/>
      <w:start w:val="3"/>
    </w:lvl>
  </w:abstractNum>
  <w:abstractNum w:abstractNumId="9">
    <w:nsid w:val="4DB127F8"/>
    <w:multiLevelType w:val="hybridMultilevel"/>
    <w:lvl w:ilvl="0">
      <w:lvlJc w:val="left"/>
      <w:lvlText w:val="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2019-12-17T16:50:33Z</dcterms:created>
  <dcterms:modified xsi:type="dcterms:W3CDTF">2019-12-17T16:50:33Z</dcterms:modified>
</cp:coreProperties>
</file>