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8"/>
          <w:sz w:val="30"/>
          <w:szCs w:val="30"/>
        </w:rPr>
        <w:t xml:space="preserve">Marketing Campaign ROI &amp; Customer Acquisition Cost (CAC) Analysis</w:t>
      </w:r>
    </w:p>
    <w:p>
      <w:pPr>
        <w:spacing w:after="40"/>
      </w:pPr>
      <w:r>
        <w:rPr>
          <w:i/>
          <w:iCs/>
          <w:color w:val="555555"/>
          <w:sz w:val="22"/>
          <w:szCs w:val="22"/>
        </w:rPr>
        <w:t xml:space="preserve">Recommendation memo</w:t>
      </w:r>
    </w:p>
    <w:p>
      <w:pPr>
        <w:pBdr>
          <w:bottom w:val="single" w:color="CCCCCC" w:sz="6" w:space="4"/>
        </w:pBdr>
        <w:spacing w:after="240"/>
      </w:pPr>
      <w:r>
        <w:rPr>
          <w:color w:val="888888"/>
          <w:sz w:val="18"/>
          <w:szCs w:val="18"/>
        </w:rPr>
        <w:t xml:space="preserve">Bhumika   |   August 2026</w:t>
      </w:r>
    </w:p>
    <w:p>
      <w:pPr>
        <w:pStyle w:val="Heading1"/>
        <w:spacing w:after="120" w:before="320"/>
      </w:pPr>
      <w:r>
        <w:t xml:space="preserve">Business question</w:t>
      </w:r>
    </w:p>
    <w:p>
      <w:pPr>
        <w:spacing w:after="160"/>
      </w:pPr>
      <w:r>
        <w:t xml:space="preserve">I wanted to figure out which of our marketing channels are actually worth the money we're putting into them. I pulled together CAC, ROI, conversion rate, and CLV:CAC for all 8 channels we currently run, and used that to work out where the budget should really be going.</w:t>
      </w:r>
    </w:p>
    <w:p>
      <w:pPr>
        <w:pStyle w:val="Heading1"/>
        <w:spacing w:after="120" w:before="320"/>
      </w:pPr>
      <w:r>
        <w:t xml:space="preserve">What I found</w:t>
      </w:r>
    </w:p>
    <w:p>
      <w:pPr>
        <w:pStyle w:val="ListParagraph"/>
        <w:numPr>
          <w:ilvl w:val="0"/>
          <w:numId w:val="1"/>
        </w:numPr>
        <w:spacing w:after="80"/>
      </w:pPr>
      <w:r>
        <w:t xml:space="preserve">Email Marketing and Referral Program are clearly the two best-performing channels. Email is giving back 620.8% ROI on a CAC of just ₹12, and Referral isn't far behind at 427% ROI. Both have very strong CLV:CAC ratios too (17.7x and 16.1x), so it's not just a short-term spike.</w:t>
      </w:r>
    </w:p>
    <w:p>
      <w:pPr>
        <w:pStyle w:val="ListParagraph"/>
        <w:numPr>
          <w:ilvl w:val="0"/>
          <w:numId w:val="1"/>
        </w:numPr>
        <w:spacing w:after="80"/>
      </w:pPr>
      <w:r>
        <w:t xml:space="preserve">TV/Radio is the opposite story — it's losing money on every metric. ROI is -57.6%, CAC is the highest of any channel at ₹196, and the CLV:CAC ratio is only 0.6x, which basically means we're spending more to get a customer than that customer is worth over time.</w:t>
      </w:r>
    </w:p>
    <w:p>
      <w:pPr>
        <w:pStyle w:val="ListParagraph"/>
        <w:numPr>
          <w:ilvl w:val="0"/>
          <w:numId w:val="1"/>
        </w:numPr>
        <w:spacing w:after="80"/>
      </w:pPr>
      <w:r>
        <w:t xml:space="preserve">Facebook/Instagram Ads was an interesting one — it actually has the best conversion rate of all 8 channels (24.5%), but ROI is basically flat at 1%. So people are converting, just not into anything profitable. Feels more like a landing page/offer problem than a reach problem, but that's outside the scope of this analysis.</w:t>
      </w:r>
    </w:p>
    <w:p>
      <w:pPr>
        <w:pStyle w:val="ListParagraph"/>
        <w:numPr>
          <w:ilvl w:val="0"/>
          <w:numId w:val="1"/>
        </w:numPr>
        <w:spacing w:after="80"/>
      </w:pPr>
      <w:r>
        <w:t xml:space="preserve">What stood out most: TV/Radio gets the biggest chunk of spend of all 8 channels (₹1,99,487) despite being the worst performer, while Email Marketing — the best performer — gets one of the smallest budgets (₹16,012). That mismatch is really the whole story here.</w:t>
      </w:r>
    </w:p>
    <w:p>
      <w:pPr>
        <w:spacing w:after="8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1750"/>
        <w:gridCol w:w="1750"/>
        <w:gridCol w:w="1750"/>
        <w:gridCol w:w="1750"/>
      </w:tblGrid>
      <w:tr>
        <w:trPr>
          <w:tblHeader/>
        </w:trPr>
        <w:tc>
          <w:tcPr>
            <w:tcW w:type="dxa" w:w="2000"/>
            <w:shd w:fill="1F4E78" w:val="clear"/>
            <w:tcMar>
              <w:top w:type="dxa" w:w="100"/>
              <w:left w:type="dxa" w:w="100"/>
              <w:bottom w:type="dxa" w:w="100"/>
              <w:right w:type="dxa" w:w="100"/>
            </w:tcMar>
            <w:vAlign w:val="center"/>
          </w:tcPr>
          <w:p>
            <w:pPr>
              <w:jc w:val="left"/>
            </w:pPr>
            <w:r>
              <w:rPr>
                <w:b/>
                <w:bCs/>
                <w:color w:val="FFFFFF"/>
              </w:rPr>
              <w:t xml:space="preserve">Channel</w:t>
            </w:r>
          </w:p>
        </w:tc>
        <w:tc>
          <w:tcPr>
            <w:tcW w:type="dxa" w:w="2000"/>
            <w:shd w:fill="1F4E78" w:val="clear"/>
            <w:tcMar>
              <w:top w:type="dxa" w:w="100"/>
              <w:left w:type="dxa" w:w="100"/>
              <w:bottom w:type="dxa" w:w="100"/>
              <w:right w:type="dxa" w:w="100"/>
            </w:tcMar>
            <w:vAlign w:val="center"/>
          </w:tcPr>
          <w:p>
            <w:pPr>
              <w:jc w:val="center"/>
            </w:pPr>
            <w:r>
              <w:rPr>
                <w:b/>
                <w:bCs/>
                <w:color w:val="FFFFFF"/>
              </w:rPr>
              <w:t xml:space="preserve">Spend (₹)</w:t>
            </w:r>
          </w:p>
        </w:tc>
        <w:tc>
          <w:tcPr>
            <w:tcW w:type="dxa" w:w="2000"/>
            <w:shd w:fill="1F4E78" w:val="clear"/>
            <w:tcMar>
              <w:top w:type="dxa" w:w="100"/>
              <w:left w:type="dxa" w:w="100"/>
              <w:bottom w:type="dxa" w:w="100"/>
              <w:right w:type="dxa" w:w="100"/>
            </w:tcMar>
            <w:vAlign w:val="center"/>
          </w:tcPr>
          <w:p>
            <w:pPr>
              <w:jc w:val="center"/>
            </w:pPr>
            <w:r>
              <w:rPr>
                <w:b/>
                <w:bCs/>
                <w:color w:val="FFFFFF"/>
              </w:rPr>
              <w:t xml:space="preserve">ROI %</w:t>
            </w:r>
          </w:p>
        </w:tc>
        <w:tc>
          <w:tcPr>
            <w:tcW w:type="dxa" w:w="2000"/>
            <w:shd w:fill="1F4E78" w:val="clear"/>
            <w:tcMar>
              <w:top w:type="dxa" w:w="100"/>
              <w:left w:type="dxa" w:w="100"/>
              <w:bottom w:type="dxa" w:w="100"/>
              <w:right w:type="dxa" w:w="100"/>
            </w:tcMar>
            <w:vAlign w:val="center"/>
          </w:tcPr>
          <w:p>
            <w:pPr>
              <w:jc w:val="center"/>
            </w:pPr>
            <w:r>
              <w:rPr>
                <w:b/>
                <w:bCs/>
                <w:color w:val="FFFFFF"/>
              </w:rPr>
              <w:t xml:space="preserve">CAC (₹)</w:t>
            </w:r>
          </w:p>
        </w:tc>
        <w:tc>
          <w:tcPr>
            <w:tcW w:type="dxa" w:w="2000"/>
            <w:shd w:fill="1F4E78" w:val="clear"/>
            <w:tcMar>
              <w:top w:type="dxa" w:w="100"/>
              <w:left w:type="dxa" w:w="100"/>
              <w:bottom w:type="dxa" w:w="100"/>
              <w:right w:type="dxa" w:w="100"/>
            </w:tcMar>
            <w:vAlign w:val="center"/>
          </w:tcPr>
          <w:p>
            <w:pPr>
              <w:jc w:val="center"/>
            </w:pPr>
            <w:r>
              <w:rPr>
                <w:b/>
                <w:bCs/>
                <w:color w:val="FFFFFF"/>
              </w:rPr>
              <w:t xml:space="preserve">CLV:CAC</w:t>
            </w:r>
          </w:p>
        </w:tc>
      </w:tr>
      <w:tr>
        <w:tc>
          <w:tcPr>
            <w:tcW w:type="dxa" w:w="2000"/>
            <w:shd w:fill="D9E1F2" w:val="clear"/>
            <w:tcMar>
              <w:top w:type="dxa" w:w="100"/>
              <w:left w:type="dxa" w:w="100"/>
              <w:bottom w:type="dxa" w:w="100"/>
              <w:right w:type="dxa" w:w="100"/>
            </w:tcMar>
            <w:vAlign w:val="center"/>
          </w:tcPr>
          <w:p>
            <w:pPr>
              <w:jc w:val="left"/>
            </w:pPr>
            <w:r>
              <w:rPr>
                <w:b/>
                <w:bCs/>
                <w:color w:val="000000"/>
              </w:rPr>
              <w:t xml:space="preserve">Email Marketing</w:t>
            </w:r>
          </w:p>
        </w:tc>
        <w:tc>
          <w:tcPr>
            <w:tcW w:type="dxa" w:w="2000"/>
            <w:shd w:fill="D9E1F2" w:val="clear"/>
            <w:tcMar>
              <w:top w:type="dxa" w:w="100"/>
              <w:left w:type="dxa" w:w="100"/>
              <w:bottom w:type="dxa" w:w="100"/>
              <w:right w:type="dxa" w:w="100"/>
            </w:tcMar>
            <w:vAlign w:val="center"/>
          </w:tcPr>
          <w:p>
            <w:pPr>
              <w:jc w:val="center"/>
            </w:pPr>
            <w:r>
              <w:rPr>
                <w:b w:val="false"/>
                <w:bCs w:val="false"/>
                <w:color w:val="000000"/>
              </w:rPr>
              <w:t xml:space="preserve">16,012</w:t>
            </w:r>
          </w:p>
        </w:tc>
        <w:tc>
          <w:tcPr>
            <w:tcW w:type="dxa" w:w="2000"/>
            <w:shd w:fill="D9E1F2" w:val="clear"/>
            <w:tcMar>
              <w:top w:type="dxa" w:w="100"/>
              <w:left w:type="dxa" w:w="100"/>
              <w:bottom w:type="dxa" w:w="100"/>
              <w:right w:type="dxa" w:w="100"/>
            </w:tcMar>
            <w:vAlign w:val="center"/>
          </w:tcPr>
          <w:p>
            <w:pPr>
              <w:jc w:val="center"/>
            </w:pPr>
            <w:r>
              <w:rPr>
                <w:b/>
                <w:bCs/>
                <w:color w:val="2E7D32"/>
              </w:rPr>
              <w:t xml:space="preserve">620.8%</w:t>
            </w:r>
          </w:p>
        </w:tc>
        <w:tc>
          <w:tcPr>
            <w:tcW w:type="dxa" w:w="2000"/>
            <w:shd w:fill="D9E1F2" w:val="clear"/>
            <w:tcMar>
              <w:top w:type="dxa" w:w="100"/>
              <w:left w:type="dxa" w:w="100"/>
              <w:bottom w:type="dxa" w:w="100"/>
              <w:right w:type="dxa" w:w="100"/>
            </w:tcMar>
            <w:vAlign w:val="center"/>
          </w:tcPr>
          <w:p>
            <w:pPr>
              <w:jc w:val="center"/>
            </w:pPr>
            <w:r>
              <w:rPr>
                <w:b w:val="false"/>
                <w:bCs w:val="false"/>
                <w:color w:val="000000"/>
              </w:rPr>
              <w:t xml:space="preserve">12.08</w:t>
            </w:r>
          </w:p>
        </w:tc>
        <w:tc>
          <w:tcPr>
            <w:tcW w:type="dxa" w:w="2000"/>
            <w:shd w:fill="D9E1F2" w:val="clear"/>
            <w:tcMar>
              <w:top w:type="dxa" w:w="100"/>
              <w:left w:type="dxa" w:w="100"/>
              <w:bottom w:type="dxa" w:w="100"/>
              <w:right w:type="dxa" w:w="100"/>
            </w:tcMar>
            <w:vAlign w:val="center"/>
          </w:tcPr>
          <w:p>
            <w:pPr>
              <w:jc w:val="center"/>
            </w:pPr>
            <w:r>
              <w:rPr>
                <w:b w:val="false"/>
                <w:bCs w:val="false"/>
                <w:color w:val="000000"/>
              </w:rPr>
              <w:t xml:space="preserve">17.7x</w:t>
            </w:r>
          </w:p>
        </w:tc>
      </w:tr>
      <w:tr>
        <w:tc>
          <w:tcPr>
            <w:tcW w:type="dxa" w:w="2000"/>
            <w:shd w:fill="D9E1F2" w:val="clear"/>
            <w:tcMar>
              <w:top w:type="dxa" w:w="100"/>
              <w:left w:type="dxa" w:w="100"/>
              <w:bottom w:type="dxa" w:w="100"/>
              <w:right w:type="dxa" w:w="100"/>
            </w:tcMar>
            <w:vAlign w:val="center"/>
          </w:tcPr>
          <w:p>
            <w:pPr>
              <w:jc w:val="left"/>
            </w:pPr>
            <w:r>
              <w:rPr>
                <w:b/>
                <w:bCs/>
                <w:color w:val="000000"/>
              </w:rPr>
              <w:t xml:space="preserve">Referral Program</w:t>
            </w:r>
          </w:p>
        </w:tc>
        <w:tc>
          <w:tcPr>
            <w:tcW w:type="dxa" w:w="2000"/>
            <w:shd w:fill="D9E1F2" w:val="clear"/>
            <w:tcMar>
              <w:top w:type="dxa" w:w="100"/>
              <w:left w:type="dxa" w:w="100"/>
              <w:bottom w:type="dxa" w:w="100"/>
              <w:right w:type="dxa" w:w="100"/>
            </w:tcMar>
            <w:vAlign w:val="center"/>
          </w:tcPr>
          <w:p>
            <w:pPr>
              <w:jc w:val="center"/>
            </w:pPr>
            <w:r>
              <w:rPr>
                <w:b w:val="false"/>
                <w:bCs w:val="false"/>
                <w:color w:val="000000"/>
              </w:rPr>
              <w:t xml:space="preserve">22,543</w:t>
            </w:r>
          </w:p>
        </w:tc>
        <w:tc>
          <w:tcPr>
            <w:tcW w:type="dxa" w:w="2000"/>
            <w:shd w:fill="D9E1F2" w:val="clear"/>
            <w:tcMar>
              <w:top w:type="dxa" w:w="100"/>
              <w:left w:type="dxa" w:w="100"/>
              <w:bottom w:type="dxa" w:w="100"/>
              <w:right w:type="dxa" w:w="100"/>
            </w:tcMar>
            <w:vAlign w:val="center"/>
          </w:tcPr>
          <w:p>
            <w:pPr>
              <w:jc w:val="center"/>
            </w:pPr>
            <w:r>
              <w:rPr>
                <w:b/>
                <w:bCs/>
                <w:color w:val="2E7D32"/>
              </w:rPr>
              <w:t xml:space="preserve">427.0%</w:t>
            </w:r>
          </w:p>
        </w:tc>
        <w:tc>
          <w:tcPr>
            <w:tcW w:type="dxa" w:w="2000"/>
            <w:shd w:fill="D9E1F2" w:val="clear"/>
            <w:tcMar>
              <w:top w:type="dxa" w:w="100"/>
              <w:left w:type="dxa" w:w="100"/>
              <w:bottom w:type="dxa" w:w="100"/>
              <w:right w:type="dxa" w:w="100"/>
            </w:tcMar>
            <w:vAlign w:val="center"/>
          </w:tcPr>
          <w:p>
            <w:pPr>
              <w:jc w:val="center"/>
            </w:pPr>
            <w:r>
              <w:rPr>
                <w:b w:val="false"/>
                <w:bCs w:val="false"/>
                <w:color w:val="000000"/>
              </w:rPr>
              <w:t xml:space="preserve">20.07</w:t>
            </w:r>
          </w:p>
        </w:tc>
        <w:tc>
          <w:tcPr>
            <w:tcW w:type="dxa" w:w="2000"/>
            <w:shd w:fill="D9E1F2" w:val="clear"/>
            <w:tcMar>
              <w:top w:type="dxa" w:w="100"/>
              <w:left w:type="dxa" w:w="100"/>
              <w:bottom w:type="dxa" w:w="100"/>
              <w:right w:type="dxa" w:w="100"/>
            </w:tcMar>
            <w:vAlign w:val="center"/>
          </w:tcPr>
          <w:p>
            <w:pPr>
              <w:jc w:val="center"/>
            </w:pPr>
            <w:r>
              <w:rPr>
                <w:b w:val="false"/>
                <w:bCs w:val="false"/>
                <w:color w:val="000000"/>
              </w:rPr>
              <w:t xml:space="preserve">16.1x</w:t>
            </w:r>
          </w:p>
        </w:tc>
      </w:tr>
      <w:tr>
        <w:tc>
          <w:tcPr>
            <w:tcW w:type="dxa" w:w="2000"/>
            <w:tcMar>
              <w:top w:type="dxa" w:w="100"/>
              <w:left w:type="dxa" w:w="100"/>
              <w:bottom w:type="dxa" w:w="100"/>
              <w:right w:type="dxa" w:w="100"/>
            </w:tcMar>
            <w:vAlign w:val="center"/>
          </w:tcPr>
          <w:p>
            <w:pPr>
              <w:jc w:val="left"/>
            </w:pPr>
            <w:r>
              <w:rPr>
                <w:b w:val="false"/>
                <w:bCs w:val="false"/>
                <w:color w:val="000000"/>
              </w:rPr>
              <w:t xml:space="preserve">Content/SEO</w:t>
            </w:r>
          </w:p>
        </w:tc>
        <w:tc>
          <w:tcPr>
            <w:tcW w:type="dxa" w:w="2000"/>
            <w:tcMar>
              <w:top w:type="dxa" w:w="100"/>
              <w:left w:type="dxa" w:w="100"/>
              <w:bottom w:type="dxa" w:w="100"/>
              <w:right w:type="dxa" w:w="100"/>
            </w:tcMar>
            <w:vAlign w:val="center"/>
          </w:tcPr>
          <w:p>
            <w:pPr>
              <w:jc w:val="center"/>
            </w:pPr>
            <w:r>
              <w:rPr>
                <w:b w:val="false"/>
                <w:bCs w:val="false"/>
                <w:color w:val="000000"/>
              </w:rPr>
              <w:t xml:space="preserve">43,156</w:t>
            </w:r>
          </w:p>
        </w:tc>
        <w:tc>
          <w:tcPr>
            <w:tcW w:type="dxa" w:w="2000"/>
            <w:tcMar>
              <w:top w:type="dxa" w:w="100"/>
              <w:left w:type="dxa" w:w="100"/>
              <w:bottom w:type="dxa" w:w="100"/>
              <w:right w:type="dxa" w:w="100"/>
            </w:tcMar>
            <w:vAlign w:val="center"/>
          </w:tcPr>
          <w:p>
            <w:pPr>
              <w:jc w:val="center"/>
            </w:pPr>
            <w:r>
              <w:rPr>
                <w:b/>
                <w:bCs/>
                <w:color w:val="2E7D32"/>
              </w:rPr>
              <w:t xml:space="preserve">147.2%</w:t>
            </w:r>
          </w:p>
        </w:tc>
        <w:tc>
          <w:tcPr>
            <w:tcW w:type="dxa" w:w="2000"/>
            <w:tcMar>
              <w:top w:type="dxa" w:w="100"/>
              <w:left w:type="dxa" w:w="100"/>
              <w:bottom w:type="dxa" w:w="100"/>
              <w:right w:type="dxa" w:w="100"/>
            </w:tcMar>
            <w:vAlign w:val="center"/>
          </w:tcPr>
          <w:p>
            <w:pPr>
              <w:jc w:val="center"/>
            </w:pPr>
            <w:r>
              <w:rPr>
                <w:b w:val="false"/>
                <w:bCs w:val="false"/>
                <w:color w:val="000000"/>
              </w:rPr>
              <w:t xml:space="preserve">38.39</w:t>
            </w:r>
          </w:p>
        </w:tc>
        <w:tc>
          <w:tcPr>
            <w:tcW w:type="dxa" w:w="2000"/>
            <w:tcMar>
              <w:top w:type="dxa" w:w="100"/>
              <w:left w:type="dxa" w:w="100"/>
              <w:bottom w:type="dxa" w:w="100"/>
              <w:right w:type="dxa" w:w="100"/>
            </w:tcMar>
            <w:vAlign w:val="center"/>
          </w:tcPr>
          <w:p>
            <w:pPr>
              <w:jc w:val="center"/>
            </w:pPr>
            <w:r>
              <w:rPr>
                <w:b w:val="false"/>
                <w:bCs w:val="false"/>
                <w:color w:val="000000"/>
              </w:rPr>
              <w:t xml:space="preserve">5.6x</w:t>
            </w:r>
          </w:p>
        </w:tc>
      </w:tr>
      <w:tr>
        <w:tc>
          <w:tcPr>
            <w:tcW w:type="dxa" w:w="2000"/>
            <w:tcMar>
              <w:top w:type="dxa" w:w="100"/>
              <w:left w:type="dxa" w:w="100"/>
              <w:bottom w:type="dxa" w:w="100"/>
              <w:right w:type="dxa" w:w="100"/>
            </w:tcMar>
            <w:vAlign w:val="center"/>
          </w:tcPr>
          <w:p>
            <w:pPr>
              <w:jc w:val="left"/>
            </w:pPr>
            <w:r>
              <w:rPr>
                <w:b w:val="false"/>
                <w:bCs w:val="false"/>
                <w:color w:val="000000"/>
              </w:rPr>
              <w:t xml:space="preserve">Google Search Ads</w:t>
            </w:r>
          </w:p>
        </w:tc>
        <w:tc>
          <w:tcPr>
            <w:tcW w:type="dxa" w:w="2000"/>
            <w:tcMar>
              <w:top w:type="dxa" w:w="100"/>
              <w:left w:type="dxa" w:w="100"/>
              <w:bottom w:type="dxa" w:w="100"/>
              <w:right w:type="dxa" w:w="100"/>
            </w:tcMar>
            <w:vAlign w:val="center"/>
          </w:tcPr>
          <w:p>
            <w:pPr>
              <w:jc w:val="center"/>
            </w:pPr>
            <w:r>
              <w:rPr>
                <w:b w:val="false"/>
                <w:bCs w:val="false"/>
                <w:color w:val="000000"/>
              </w:rPr>
              <w:t xml:space="preserve">122,717</w:t>
            </w:r>
          </w:p>
        </w:tc>
        <w:tc>
          <w:tcPr>
            <w:tcW w:type="dxa" w:w="2000"/>
            <w:tcMar>
              <w:top w:type="dxa" w:w="100"/>
              <w:left w:type="dxa" w:w="100"/>
              <w:bottom w:type="dxa" w:w="100"/>
              <w:right w:type="dxa" w:w="100"/>
            </w:tcMar>
            <w:vAlign w:val="center"/>
          </w:tcPr>
          <w:p>
            <w:pPr>
              <w:jc w:val="center"/>
            </w:pPr>
            <w:r>
              <w:rPr>
                <w:b/>
                <w:bCs/>
                <w:color w:val="2E7D32"/>
              </w:rPr>
              <w:t xml:space="preserve">86.2%</w:t>
            </w:r>
          </w:p>
        </w:tc>
        <w:tc>
          <w:tcPr>
            <w:tcW w:type="dxa" w:w="2000"/>
            <w:tcMar>
              <w:top w:type="dxa" w:w="100"/>
              <w:left w:type="dxa" w:w="100"/>
              <w:bottom w:type="dxa" w:w="100"/>
              <w:right w:type="dxa" w:w="100"/>
            </w:tcMar>
            <w:vAlign w:val="center"/>
          </w:tcPr>
          <w:p>
            <w:pPr>
              <w:jc w:val="center"/>
            </w:pPr>
            <w:r>
              <w:rPr>
                <w:b w:val="false"/>
                <w:bCs w:val="false"/>
                <w:color w:val="000000"/>
              </w:rPr>
              <w:t xml:space="preserve">53.29</w:t>
            </w:r>
          </w:p>
        </w:tc>
        <w:tc>
          <w:tcPr>
            <w:tcW w:type="dxa" w:w="2000"/>
            <w:tcMar>
              <w:top w:type="dxa" w:w="100"/>
              <w:left w:type="dxa" w:w="100"/>
              <w:bottom w:type="dxa" w:w="100"/>
              <w:right w:type="dxa" w:w="100"/>
            </w:tcMar>
            <w:vAlign w:val="center"/>
          </w:tcPr>
          <w:p>
            <w:pPr>
              <w:jc w:val="center"/>
            </w:pPr>
            <w:r>
              <w:rPr>
                <w:b w:val="false"/>
                <w:bCs w:val="false"/>
                <w:color w:val="000000"/>
              </w:rPr>
              <w:t xml:space="preserve">3.4x</w:t>
            </w:r>
          </w:p>
        </w:tc>
      </w:tr>
      <w:tr>
        <w:tc>
          <w:tcPr>
            <w:tcW w:type="dxa" w:w="2000"/>
            <w:tcMar>
              <w:top w:type="dxa" w:w="100"/>
              <w:left w:type="dxa" w:w="100"/>
              <w:bottom w:type="dxa" w:w="100"/>
              <w:right w:type="dxa" w:w="100"/>
            </w:tcMar>
            <w:vAlign w:val="center"/>
          </w:tcPr>
          <w:p>
            <w:pPr>
              <w:jc w:val="left"/>
            </w:pPr>
            <w:r>
              <w:rPr>
                <w:b w:val="false"/>
                <w:bCs w:val="false"/>
                <w:color w:val="000000"/>
              </w:rPr>
              <w:t xml:space="preserve">Affiliate Marketing</w:t>
            </w:r>
          </w:p>
        </w:tc>
        <w:tc>
          <w:tcPr>
            <w:tcW w:type="dxa" w:w="2000"/>
            <w:tcMar>
              <w:top w:type="dxa" w:w="100"/>
              <w:left w:type="dxa" w:w="100"/>
              <w:bottom w:type="dxa" w:w="100"/>
              <w:right w:type="dxa" w:w="100"/>
            </w:tcMar>
            <w:vAlign w:val="center"/>
          </w:tcPr>
          <w:p>
            <w:pPr>
              <w:jc w:val="center"/>
            </w:pPr>
            <w:r>
              <w:rPr>
                <w:b w:val="false"/>
                <w:bCs w:val="false"/>
                <w:color w:val="000000"/>
              </w:rPr>
              <w:t xml:space="preserve">42,537</w:t>
            </w:r>
          </w:p>
        </w:tc>
        <w:tc>
          <w:tcPr>
            <w:tcW w:type="dxa" w:w="2000"/>
            <w:tcMar>
              <w:top w:type="dxa" w:w="100"/>
              <w:left w:type="dxa" w:w="100"/>
              <w:bottom w:type="dxa" w:w="100"/>
              <w:right w:type="dxa" w:w="100"/>
            </w:tcMar>
            <w:vAlign w:val="center"/>
          </w:tcPr>
          <w:p>
            <w:pPr>
              <w:jc w:val="center"/>
            </w:pPr>
            <w:r>
              <w:rPr>
                <w:b/>
                <w:bCs/>
                <w:color w:val="2E7D32"/>
              </w:rPr>
              <w:t xml:space="preserve">80.8%</w:t>
            </w:r>
          </w:p>
        </w:tc>
        <w:tc>
          <w:tcPr>
            <w:tcW w:type="dxa" w:w="2000"/>
            <w:tcMar>
              <w:top w:type="dxa" w:w="100"/>
              <w:left w:type="dxa" w:w="100"/>
              <w:bottom w:type="dxa" w:w="100"/>
              <w:right w:type="dxa" w:w="100"/>
            </w:tcMar>
            <w:vAlign w:val="center"/>
          </w:tcPr>
          <w:p>
            <w:pPr>
              <w:jc w:val="center"/>
            </w:pPr>
            <w:r>
              <w:rPr>
                <w:b w:val="false"/>
                <w:bCs w:val="false"/>
                <w:color w:val="000000"/>
              </w:rPr>
              <w:t xml:space="preserve">42.88</w:t>
            </w:r>
          </w:p>
        </w:tc>
        <w:tc>
          <w:tcPr>
            <w:tcW w:type="dxa" w:w="2000"/>
            <w:tcMar>
              <w:top w:type="dxa" w:w="100"/>
              <w:left w:type="dxa" w:w="100"/>
              <w:bottom w:type="dxa" w:w="100"/>
              <w:right w:type="dxa" w:w="100"/>
            </w:tcMar>
            <w:vAlign w:val="center"/>
          </w:tcPr>
          <w:p>
            <w:pPr>
              <w:jc w:val="center"/>
            </w:pPr>
            <w:r>
              <w:rPr>
                <w:b w:val="false"/>
                <w:bCs w:val="false"/>
                <w:color w:val="000000"/>
              </w:rPr>
              <w:t xml:space="preserve">2.8x</w:t>
            </w:r>
          </w:p>
        </w:tc>
      </w:tr>
      <w:tr>
        <w:tc>
          <w:tcPr>
            <w:tcW w:type="dxa" w:w="2000"/>
            <w:tcMar>
              <w:top w:type="dxa" w:w="100"/>
              <w:left w:type="dxa" w:w="100"/>
              <w:bottom w:type="dxa" w:w="100"/>
              <w:right w:type="dxa" w:w="100"/>
            </w:tcMar>
            <w:vAlign w:val="center"/>
          </w:tcPr>
          <w:p>
            <w:pPr>
              <w:jc w:val="left"/>
            </w:pPr>
            <w:r>
              <w:rPr>
                <w:b w:val="false"/>
                <w:bCs w:val="false"/>
                <w:color w:val="000000"/>
              </w:rPr>
              <w:t xml:space="preserve">Facebook/Instagram Ads</w:t>
            </w:r>
          </w:p>
        </w:tc>
        <w:tc>
          <w:tcPr>
            <w:tcW w:type="dxa" w:w="2000"/>
            <w:tcMar>
              <w:top w:type="dxa" w:w="100"/>
              <w:left w:type="dxa" w:w="100"/>
              <w:bottom w:type="dxa" w:w="100"/>
              <w:right w:type="dxa" w:w="100"/>
            </w:tcMar>
            <w:vAlign w:val="center"/>
          </w:tcPr>
          <w:p>
            <w:pPr>
              <w:jc w:val="center"/>
            </w:pPr>
            <w:r>
              <w:rPr>
                <w:b w:val="false"/>
                <w:bCs w:val="false"/>
                <w:color w:val="000000"/>
              </w:rPr>
              <w:t xml:space="preserve">88,853</w:t>
            </w:r>
          </w:p>
        </w:tc>
        <w:tc>
          <w:tcPr>
            <w:tcW w:type="dxa" w:w="2000"/>
            <w:tcMar>
              <w:top w:type="dxa" w:w="100"/>
              <w:left w:type="dxa" w:w="100"/>
              <w:bottom w:type="dxa" w:w="100"/>
              <w:right w:type="dxa" w:w="100"/>
            </w:tcMar>
            <w:vAlign w:val="center"/>
          </w:tcPr>
          <w:p>
            <w:pPr>
              <w:jc w:val="center"/>
            </w:pPr>
            <w:r>
              <w:rPr>
                <w:b/>
                <w:bCs/>
                <w:color w:val="2E7D32"/>
              </w:rPr>
              <w:t xml:space="preserve">1.0%</w:t>
            </w:r>
          </w:p>
        </w:tc>
        <w:tc>
          <w:tcPr>
            <w:tcW w:type="dxa" w:w="2000"/>
            <w:tcMar>
              <w:top w:type="dxa" w:w="100"/>
              <w:left w:type="dxa" w:w="100"/>
              <w:bottom w:type="dxa" w:w="100"/>
              <w:right w:type="dxa" w:w="100"/>
            </w:tcMar>
            <w:vAlign w:val="center"/>
          </w:tcPr>
          <w:p>
            <w:pPr>
              <w:jc w:val="center"/>
            </w:pPr>
            <w:r>
              <w:rPr>
                <w:b w:val="false"/>
                <w:bCs w:val="false"/>
                <w:color w:val="000000"/>
              </w:rPr>
              <w:t xml:space="preserve">73.37</w:t>
            </w:r>
          </w:p>
        </w:tc>
        <w:tc>
          <w:tcPr>
            <w:tcW w:type="dxa" w:w="2000"/>
            <w:tcMar>
              <w:top w:type="dxa" w:w="100"/>
              <w:left w:type="dxa" w:w="100"/>
              <w:bottom w:type="dxa" w:w="100"/>
              <w:right w:type="dxa" w:w="100"/>
            </w:tcMar>
            <w:vAlign w:val="center"/>
          </w:tcPr>
          <w:p>
            <w:pPr>
              <w:jc w:val="center"/>
            </w:pPr>
            <w:r>
              <w:rPr>
                <w:b w:val="false"/>
                <w:bCs w:val="false"/>
                <w:color w:val="000000"/>
              </w:rPr>
              <w:t xml:space="preserve">1.5x</w:t>
            </w:r>
          </w:p>
        </w:tc>
      </w:tr>
      <w:tr>
        <w:tc>
          <w:tcPr>
            <w:tcW w:type="dxa" w:w="2000"/>
            <w:tcMar>
              <w:top w:type="dxa" w:w="100"/>
              <w:left w:type="dxa" w:w="100"/>
              <w:bottom w:type="dxa" w:w="100"/>
              <w:right w:type="dxa" w:w="100"/>
            </w:tcMar>
            <w:vAlign w:val="center"/>
          </w:tcPr>
          <w:p>
            <w:pPr>
              <w:jc w:val="left"/>
            </w:pPr>
            <w:r>
              <w:rPr>
                <w:b w:val="false"/>
                <w:bCs w:val="false"/>
                <w:color w:val="000000"/>
              </w:rPr>
              <w:t xml:space="preserve">Direct Mail</w:t>
            </w:r>
          </w:p>
        </w:tc>
        <w:tc>
          <w:tcPr>
            <w:tcW w:type="dxa" w:w="2000"/>
            <w:tcMar>
              <w:top w:type="dxa" w:w="100"/>
              <w:left w:type="dxa" w:w="100"/>
              <w:bottom w:type="dxa" w:w="100"/>
              <w:right w:type="dxa" w:w="100"/>
            </w:tcMar>
            <w:vAlign w:val="center"/>
          </w:tcPr>
          <w:p>
            <w:pPr>
              <w:jc w:val="center"/>
            </w:pPr>
            <w:r>
              <w:rPr>
                <w:b w:val="false"/>
                <w:bCs w:val="false"/>
                <w:color w:val="000000"/>
              </w:rPr>
              <w:t xml:space="preserve">64,112</w:t>
            </w:r>
          </w:p>
        </w:tc>
        <w:tc>
          <w:tcPr>
            <w:tcW w:type="dxa" w:w="2000"/>
            <w:tcMar>
              <w:top w:type="dxa" w:w="100"/>
              <w:left w:type="dxa" w:w="100"/>
              <w:bottom w:type="dxa" w:w="100"/>
              <w:right w:type="dxa" w:w="100"/>
            </w:tcMar>
            <w:vAlign w:val="center"/>
          </w:tcPr>
          <w:p>
            <w:pPr>
              <w:jc w:val="center"/>
            </w:pPr>
            <w:r>
              <w:rPr>
                <w:b/>
                <w:bCs/>
                <w:color w:val="C62828"/>
              </w:rPr>
              <w:t xml:space="preserve">-21.6%</w:t>
            </w:r>
          </w:p>
        </w:tc>
        <w:tc>
          <w:tcPr>
            <w:tcW w:type="dxa" w:w="2000"/>
            <w:tcMar>
              <w:top w:type="dxa" w:w="100"/>
              <w:left w:type="dxa" w:w="100"/>
              <w:bottom w:type="dxa" w:w="100"/>
              <w:right w:type="dxa" w:w="100"/>
            </w:tcMar>
            <w:vAlign w:val="center"/>
          </w:tcPr>
          <w:p>
            <w:pPr>
              <w:jc w:val="center"/>
            </w:pPr>
            <w:r>
              <w:rPr>
                <w:b w:val="false"/>
                <w:bCs w:val="false"/>
                <w:color w:val="000000"/>
              </w:rPr>
              <w:t xml:space="preserve">117.64</w:t>
            </w:r>
          </w:p>
        </w:tc>
        <w:tc>
          <w:tcPr>
            <w:tcW w:type="dxa" w:w="2000"/>
            <w:tcMar>
              <w:top w:type="dxa" w:w="100"/>
              <w:left w:type="dxa" w:w="100"/>
              <w:bottom w:type="dxa" w:w="100"/>
              <w:right w:type="dxa" w:w="100"/>
            </w:tcMar>
            <w:vAlign w:val="center"/>
          </w:tcPr>
          <w:p>
            <w:pPr>
              <w:jc w:val="center"/>
            </w:pPr>
            <w:r>
              <w:rPr>
                <w:b w:val="false"/>
                <w:bCs w:val="false"/>
                <w:color w:val="000000"/>
              </w:rPr>
              <w:t xml:space="preserve">1.4x</w:t>
            </w:r>
          </w:p>
        </w:tc>
      </w:tr>
      <w:tr>
        <w:tc>
          <w:tcPr>
            <w:tcW w:type="dxa" w:w="2000"/>
            <w:shd w:fill="D9E1F2" w:val="clear"/>
            <w:tcMar>
              <w:top w:type="dxa" w:w="100"/>
              <w:left w:type="dxa" w:w="100"/>
              <w:bottom w:type="dxa" w:w="100"/>
              <w:right w:type="dxa" w:w="100"/>
            </w:tcMar>
            <w:vAlign w:val="center"/>
          </w:tcPr>
          <w:p>
            <w:pPr>
              <w:jc w:val="left"/>
            </w:pPr>
            <w:r>
              <w:rPr>
                <w:b/>
                <w:bCs/>
                <w:color w:val="000000"/>
              </w:rPr>
              <w:t xml:space="preserve">TV/Radio</w:t>
            </w:r>
          </w:p>
        </w:tc>
        <w:tc>
          <w:tcPr>
            <w:tcW w:type="dxa" w:w="2000"/>
            <w:shd w:fill="D9E1F2" w:val="clear"/>
            <w:tcMar>
              <w:top w:type="dxa" w:w="100"/>
              <w:left w:type="dxa" w:w="100"/>
              <w:bottom w:type="dxa" w:w="100"/>
              <w:right w:type="dxa" w:w="100"/>
            </w:tcMar>
            <w:vAlign w:val="center"/>
          </w:tcPr>
          <w:p>
            <w:pPr>
              <w:jc w:val="center"/>
            </w:pPr>
            <w:r>
              <w:rPr>
                <w:b w:val="false"/>
                <w:bCs w:val="false"/>
                <w:color w:val="000000"/>
              </w:rPr>
              <w:t xml:space="preserve">199,487</w:t>
            </w:r>
          </w:p>
        </w:tc>
        <w:tc>
          <w:tcPr>
            <w:tcW w:type="dxa" w:w="2000"/>
            <w:shd w:fill="D9E1F2" w:val="clear"/>
            <w:tcMar>
              <w:top w:type="dxa" w:w="100"/>
              <w:left w:type="dxa" w:w="100"/>
              <w:bottom w:type="dxa" w:w="100"/>
              <w:right w:type="dxa" w:w="100"/>
            </w:tcMar>
            <w:vAlign w:val="center"/>
          </w:tcPr>
          <w:p>
            <w:pPr>
              <w:jc w:val="center"/>
            </w:pPr>
            <w:r>
              <w:rPr>
                <w:b/>
                <w:bCs/>
                <w:color w:val="C62828"/>
              </w:rPr>
              <w:t xml:space="preserve">-57.6%</w:t>
            </w:r>
          </w:p>
        </w:tc>
        <w:tc>
          <w:tcPr>
            <w:tcW w:type="dxa" w:w="2000"/>
            <w:shd w:fill="D9E1F2" w:val="clear"/>
            <w:tcMar>
              <w:top w:type="dxa" w:w="100"/>
              <w:left w:type="dxa" w:w="100"/>
              <w:bottom w:type="dxa" w:w="100"/>
              <w:right w:type="dxa" w:w="100"/>
            </w:tcMar>
            <w:vAlign w:val="center"/>
          </w:tcPr>
          <w:p>
            <w:pPr>
              <w:jc w:val="center"/>
            </w:pPr>
            <w:r>
              <w:rPr>
                <w:b w:val="false"/>
                <w:bCs w:val="false"/>
                <w:color w:val="000000"/>
              </w:rPr>
              <w:t xml:space="preserve">196.15</w:t>
            </w:r>
          </w:p>
        </w:tc>
        <w:tc>
          <w:tcPr>
            <w:tcW w:type="dxa" w:w="2000"/>
            <w:shd w:fill="D9E1F2" w:val="clear"/>
            <w:tcMar>
              <w:top w:type="dxa" w:w="100"/>
              <w:left w:type="dxa" w:w="100"/>
              <w:bottom w:type="dxa" w:w="100"/>
              <w:right w:type="dxa" w:w="100"/>
            </w:tcMar>
            <w:vAlign w:val="center"/>
          </w:tcPr>
          <w:p>
            <w:pPr>
              <w:jc w:val="center"/>
            </w:pPr>
            <w:r>
              <w:rPr>
                <w:b w:val="false"/>
                <w:bCs w:val="false"/>
                <w:color w:val="000000"/>
              </w:rPr>
              <w:t xml:space="preserve">0.6x</w:t>
            </w:r>
          </w:p>
        </w:tc>
      </w:tr>
    </w:tbl>
    <w:p>
      <w:pPr>
        <w:spacing w:after="260" w:before="100"/>
      </w:pPr>
      <w:r>
        <w:rPr>
          <w:i/>
          <w:iCs/>
          <w:color w:val="666666"/>
          <w:sz w:val="18"/>
          <w:szCs w:val="18"/>
        </w:rPr>
        <w:t xml:space="preserve">Channel-wise performance, sorted by ROI.</w:t>
      </w:r>
    </w:p>
    <w:p>
      <w:pPr>
        <w:pStyle w:val="Heading1"/>
        <w:spacing w:after="120" w:before="320"/>
      </w:pPr>
      <w:r>
        <w:t xml:space="preserve">Recommendation</w:t>
      </w:r>
    </w:p>
    <w:p>
      <w:pPr>
        <w:spacing w:after="160"/>
      </w:pPr>
      <w:r>
        <w:t xml:space="preserve">Move 20% of the TV/Radio budget (around ₹39,900) over to Email Marketing. Email is converting spend into revenue at roughly 7.2x, versus TV/Radio's 0.42x, so shifting even this smaller amount works out to a projected net revenue gain of about ₹2,70,660 — and it doesn't need any extra budget, just a reallocation of what's already being spent.</w:t>
      </w:r>
    </w:p>
    <w:p>
      <w:pPr>
        <w:spacing w:after="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750"/>
        <w:gridCol w:w="2750"/>
      </w:tblGrid>
      <w:tr>
        <w:trPr>
          <w:tblHeader/>
        </w:trPr>
        <w:tc>
          <w:tcPr>
            <w:tcW w:type="dxa" w:w="2000"/>
            <w:shd w:fill="1F4E78" w:val="clear"/>
            <w:tcMar>
              <w:top w:type="dxa" w:w="100"/>
              <w:left w:type="dxa" w:w="100"/>
              <w:bottom w:type="dxa" w:w="100"/>
              <w:right w:type="dxa" w:w="100"/>
            </w:tcMar>
            <w:vAlign w:val="center"/>
          </w:tcPr>
          <w:p>
            <w:pPr>
              <w:jc w:val="left"/>
            </w:pPr>
            <w:r>
              <w:rPr>
                <w:b/>
                <w:bCs/>
                <w:color w:val="FFFFFF"/>
              </w:rPr>
              <w:t xml:space="preserve">% Shifted from TV/Radio</w:t>
            </w:r>
          </w:p>
        </w:tc>
        <w:tc>
          <w:tcPr>
            <w:tcW w:type="dxa" w:w="2000"/>
            <w:shd w:fill="1F4E78" w:val="clear"/>
            <w:tcMar>
              <w:top w:type="dxa" w:w="100"/>
              <w:left w:type="dxa" w:w="100"/>
              <w:bottom w:type="dxa" w:w="100"/>
              <w:right w:type="dxa" w:w="100"/>
            </w:tcMar>
            <w:vAlign w:val="center"/>
          </w:tcPr>
          <w:p>
            <w:pPr>
              <w:jc w:val="center"/>
            </w:pPr>
            <w:r>
              <w:rPr>
                <w:b/>
                <w:bCs/>
                <w:color w:val="FFFFFF"/>
              </w:rPr>
              <w:t xml:space="preserve">Amount Shifted (₹)</w:t>
            </w:r>
          </w:p>
        </w:tc>
        <w:tc>
          <w:tcPr>
            <w:tcW w:type="dxa" w:w="2000"/>
            <w:shd w:fill="1F4E78" w:val="clear"/>
            <w:tcMar>
              <w:top w:type="dxa" w:w="100"/>
              <w:left w:type="dxa" w:w="100"/>
              <w:bottom w:type="dxa" w:w="100"/>
              <w:right w:type="dxa" w:w="100"/>
            </w:tcMar>
            <w:vAlign w:val="center"/>
          </w:tcPr>
          <w:p>
            <w:pPr>
              <w:jc w:val="center"/>
            </w:pPr>
            <w:r>
              <w:rPr>
                <w:b/>
                <w:bCs/>
                <w:color w:val="FFFFFF"/>
              </w:rPr>
              <w:t xml:space="preserve">Net Revenue Gain (₹)</w:t>
            </w:r>
          </w:p>
        </w:tc>
      </w:tr>
      <w:tr>
        <w:tc>
          <w:tcPr>
            <w:tcW w:type="dxa" w:w="2000"/>
            <w:tcMar>
              <w:top w:type="dxa" w:w="100"/>
              <w:left w:type="dxa" w:w="100"/>
              <w:bottom w:type="dxa" w:w="100"/>
              <w:right w:type="dxa" w:w="100"/>
            </w:tcMar>
            <w:vAlign w:val="center"/>
          </w:tcPr>
          <w:p>
            <w:pPr>
              <w:jc w:val="left"/>
            </w:pPr>
            <w:r>
              <w:rPr>
                <w:b w:val="false"/>
                <w:bCs w:val="false"/>
                <w:color w:val="000000"/>
              </w:rPr>
              <w:t xml:space="preserve">10%</w:t>
            </w:r>
          </w:p>
        </w:tc>
        <w:tc>
          <w:tcPr>
            <w:tcW w:type="dxa" w:w="2000"/>
            <w:tcMar>
              <w:top w:type="dxa" w:w="100"/>
              <w:left w:type="dxa" w:w="100"/>
              <w:bottom w:type="dxa" w:w="100"/>
              <w:right w:type="dxa" w:w="100"/>
            </w:tcMar>
            <w:vAlign w:val="center"/>
          </w:tcPr>
          <w:p>
            <w:pPr>
              <w:jc w:val="center"/>
            </w:pPr>
            <w:r>
              <w:rPr>
                <w:b w:val="false"/>
                <w:bCs w:val="false"/>
                <w:color w:val="000000"/>
              </w:rPr>
              <w:t xml:space="preserve">19,949</w:t>
            </w:r>
          </w:p>
        </w:tc>
        <w:tc>
          <w:tcPr>
            <w:tcW w:type="dxa" w:w="2000"/>
            <w:tcMar>
              <w:top w:type="dxa" w:w="100"/>
              <w:left w:type="dxa" w:w="100"/>
              <w:bottom w:type="dxa" w:w="100"/>
              <w:right w:type="dxa" w:w="100"/>
            </w:tcMar>
            <w:vAlign w:val="center"/>
          </w:tcPr>
          <w:p>
            <w:pPr>
              <w:jc w:val="center"/>
            </w:pPr>
            <w:r>
              <w:rPr>
                <w:b w:val="false"/>
                <w:bCs w:val="false"/>
                <w:color w:val="2E7D32"/>
              </w:rPr>
              <w:t xml:space="preserve">1,35,330</w:t>
            </w:r>
          </w:p>
        </w:tc>
      </w:tr>
      <w:tr>
        <w:tc>
          <w:tcPr>
            <w:tcW w:type="dxa" w:w="2000"/>
            <w:shd w:fill="D9E1F2" w:val="clear"/>
            <w:tcMar>
              <w:top w:type="dxa" w:w="100"/>
              <w:left w:type="dxa" w:w="100"/>
              <w:bottom w:type="dxa" w:w="100"/>
              <w:right w:type="dxa" w:w="100"/>
            </w:tcMar>
            <w:vAlign w:val="center"/>
          </w:tcPr>
          <w:p>
            <w:pPr>
              <w:jc w:val="left"/>
            </w:pPr>
            <w:r>
              <w:rPr>
                <w:b/>
                <w:bCs/>
                <w:color w:val="000000"/>
              </w:rPr>
              <w:t xml:space="preserve">20% (recommended)</w:t>
            </w:r>
          </w:p>
        </w:tc>
        <w:tc>
          <w:tcPr>
            <w:tcW w:type="dxa" w:w="2000"/>
            <w:shd w:fill="D9E1F2" w:val="clear"/>
            <w:tcMar>
              <w:top w:type="dxa" w:w="100"/>
              <w:left w:type="dxa" w:w="100"/>
              <w:bottom w:type="dxa" w:w="100"/>
              <w:right w:type="dxa" w:w="100"/>
            </w:tcMar>
            <w:vAlign w:val="center"/>
          </w:tcPr>
          <w:p>
            <w:pPr>
              <w:jc w:val="center"/>
            </w:pPr>
            <w:r>
              <w:rPr>
                <w:b w:val="false"/>
                <w:bCs w:val="false"/>
                <w:color w:val="000000"/>
              </w:rPr>
              <w:t xml:space="preserve">39,897</w:t>
            </w:r>
          </w:p>
        </w:tc>
        <w:tc>
          <w:tcPr>
            <w:tcW w:type="dxa" w:w="2000"/>
            <w:shd w:fill="D9E1F2" w:val="clear"/>
            <w:tcMar>
              <w:top w:type="dxa" w:w="100"/>
              <w:left w:type="dxa" w:w="100"/>
              <w:bottom w:type="dxa" w:w="100"/>
              <w:right w:type="dxa" w:w="100"/>
            </w:tcMar>
            <w:vAlign w:val="center"/>
          </w:tcPr>
          <w:p>
            <w:pPr>
              <w:jc w:val="center"/>
            </w:pPr>
            <w:r>
              <w:rPr>
                <w:b/>
                <w:bCs/>
                <w:color w:val="2E7D32"/>
              </w:rPr>
              <w:t xml:space="preserve">2,70,660</w:t>
            </w:r>
          </w:p>
        </w:tc>
      </w:tr>
      <w:tr>
        <w:tc>
          <w:tcPr>
            <w:tcW w:type="dxa" w:w="2000"/>
            <w:tcMar>
              <w:top w:type="dxa" w:w="100"/>
              <w:left w:type="dxa" w:w="100"/>
              <w:bottom w:type="dxa" w:w="100"/>
              <w:right w:type="dxa" w:w="100"/>
            </w:tcMar>
            <w:vAlign w:val="center"/>
          </w:tcPr>
          <w:p>
            <w:pPr>
              <w:jc w:val="left"/>
            </w:pPr>
            <w:r>
              <w:rPr>
                <w:b w:val="false"/>
                <w:bCs w:val="false"/>
                <w:color w:val="000000"/>
              </w:rPr>
              <w:t xml:space="preserve">30%</w:t>
            </w:r>
          </w:p>
        </w:tc>
        <w:tc>
          <w:tcPr>
            <w:tcW w:type="dxa" w:w="2000"/>
            <w:tcMar>
              <w:top w:type="dxa" w:w="100"/>
              <w:left w:type="dxa" w:w="100"/>
              <w:bottom w:type="dxa" w:w="100"/>
              <w:right w:type="dxa" w:w="100"/>
            </w:tcMar>
            <w:vAlign w:val="center"/>
          </w:tcPr>
          <w:p>
            <w:pPr>
              <w:jc w:val="center"/>
            </w:pPr>
            <w:r>
              <w:rPr>
                <w:b w:val="false"/>
                <w:bCs w:val="false"/>
                <w:color w:val="000000"/>
              </w:rPr>
              <w:t xml:space="preserve">59,846</w:t>
            </w:r>
          </w:p>
        </w:tc>
        <w:tc>
          <w:tcPr>
            <w:tcW w:type="dxa" w:w="2000"/>
            <w:tcMar>
              <w:top w:type="dxa" w:w="100"/>
              <w:left w:type="dxa" w:w="100"/>
              <w:bottom w:type="dxa" w:w="100"/>
              <w:right w:type="dxa" w:w="100"/>
            </w:tcMar>
            <w:vAlign w:val="center"/>
          </w:tcPr>
          <w:p>
            <w:pPr>
              <w:jc w:val="center"/>
            </w:pPr>
            <w:r>
              <w:rPr>
                <w:b w:val="false"/>
                <w:bCs w:val="false"/>
                <w:color w:val="2E7D32"/>
              </w:rPr>
              <w:t xml:space="preserve">4,05,989</w:t>
            </w:r>
          </w:p>
        </w:tc>
      </w:tr>
    </w:tbl>
    <w:p>
      <w:pPr>
        <w:spacing w:after="260" w:before="100"/>
      </w:pPr>
      <w:r>
        <w:rPr>
          <w:i/>
          <w:iCs/>
          <w:color w:val="666666"/>
          <w:sz w:val="18"/>
          <w:szCs w:val="18"/>
        </w:rPr>
        <w:t xml:space="preserve">I tested a few different shift levels to see how sensitive the outcome is. Went with 20% as the recommendation since it's a meaningful move without betting everything on one untested change.</w:t>
      </w:r>
    </w:p>
    <w:p>
      <w:pPr>
        <w:spacing w:after="160"/>
      </w:pPr>
      <w:r>
        <w:t xml:space="preserve">Separately, I'd also suggest someone take a closer look at Facebook/Instagram Ads before touching its budget either way. Since the conversion rate is actually good, the ROI problem is probably downstream of the click — offer, pricing, or landing page experience — rather than a targeting issue.</w:t>
      </w:r>
    </w:p>
    <w:p>
      <w:pPr>
        <w:pStyle w:val="Heading1"/>
        <w:spacing w:after="120" w:before="320"/>
      </w:pPr>
      <w:r>
        <w:t xml:space="preserve">Assumptions &amp; limitations</w:t>
      </w:r>
    </w:p>
    <w:p>
      <w:pPr>
        <w:pStyle w:val="ListParagraph"/>
        <w:numPr>
          <w:ilvl w:val="0"/>
          <w:numId w:val="1"/>
        </w:numPr>
        <w:spacing w:after="80"/>
      </w:pPr>
      <w:r>
        <w:t xml:space="preserve">This assumes Email Marketing keeps performing at roughly the same ROI as its budget grows. In reality, that's rarely exactly true — the easiest, cheapest conversions usually happen first, so returns could taper off a bit as spend increases. I'd treat the ₹2.7L figure as a reasonable estimate, not a guarantee.</w:t>
      </w:r>
    </w:p>
    <w:p>
      <w:pPr>
        <w:pStyle w:val="ListParagraph"/>
        <w:numPr>
          <w:ilvl w:val="0"/>
          <w:numId w:val="1"/>
        </w:numPr>
        <w:spacing w:after="80"/>
      </w:pPr>
      <w:r>
        <w:t xml:space="preserve">The numbers are from a single period of data rather than a full year, so I haven't been able to account for seasonality (e.g., TV/Radio possibly performing better around specific campaigns or holidays).</w:t>
      </w:r>
    </w:p>
    <w:p>
      <w:pPr>
        <w:pStyle w:val="ListParagraph"/>
        <w:numPr>
          <w:ilvl w:val="0"/>
          <w:numId w:val="1"/>
        </w:numPr>
        <w:spacing w:after="80"/>
      </w:pPr>
      <w:r>
        <w:t xml:space="preserve">CAC and CLV are estimated from order and retention data rather than tracked at the individual customer level, so I'd treat the exact rupee amounts as directionally correct rather than precise.</w:t>
      </w:r>
    </w:p>
    <w:p>
      <w:pPr>
        <w:pStyle w:val="ListParagraph"/>
        <w:numPr>
          <w:ilvl w:val="0"/>
          <w:numId w:val="1"/>
        </w:numPr>
        <w:spacing w:after="80"/>
      </w:pPr>
      <w:r>
        <w:t xml:space="preserve">Given the above, I'd recommend piloting the 20% shift for one campaign cycle first and re-checking the numbers before considering the 30% scenario.</w:t>
      </w:r>
    </w:p>
    <w:p>
      <w:pPr>
        <w:pStyle w:val="Heading1"/>
        <w:spacing w:after="120" w:before="320"/>
      </w:pPr>
      <w:r>
        <w:t xml:space="preserve">What I'd do next</w:t>
      </w:r>
    </w:p>
    <w:p>
      <w:pPr>
        <w:pStyle w:val="ListParagraph"/>
        <w:numPr>
          <w:ilvl w:val="0"/>
          <w:numId w:val="1"/>
        </w:numPr>
        <w:spacing w:after="80"/>
      </w:pPr>
      <w:r>
        <w:t xml:space="preserve">Get sign-off on a 20% budget shift from TV/Radio to Email Marketing for the next cycle.</w:t>
      </w:r>
    </w:p>
    <w:p>
      <w:pPr>
        <w:pStyle w:val="ListParagraph"/>
        <w:numPr>
          <w:ilvl w:val="0"/>
          <w:numId w:val="1"/>
        </w:numPr>
        <w:spacing w:after="80"/>
      </w:pPr>
      <w:r>
        <w:t xml:space="preserve">Re-run this analysis after one cycle using the same dashboard to check the projection against what actually happened.</w:t>
      </w:r>
    </w:p>
    <w:p>
      <w:pPr>
        <w:pStyle w:val="ListParagraph"/>
        <w:numPr>
          <w:ilvl w:val="0"/>
          <w:numId w:val="1"/>
        </w:numPr>
        <w:spacing w:after="80"/>
      </w:pPr>
      <w:r>
        <w:t xml:space="preserve">Take a closer look at the Facebook/Instagram Ads funnel — conversion looks fine, so the issue is probably somewhere after the click.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2026-08-20T03:36:05.997Z</dcterms:created>
  <dcterms:modified xsi:type="dcterms:W3CDTF">2026-08-20T03:36:06.009Z</dcterms:modified>
</cp:coreProperties>
</file>

<file path=docProps/custom.xml><?xml version="1.0" encoding="utf-8"?>
<Properties xmlns="http://schemas.openxmlformats.org/officeDocument/2006/custom-properties" xmlns:vt="http://schemas.openxmlformats.org/officeDocument/2006/docPropsVTypes"/>
</file>