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p w:rsidR="00000000" w:rsidDel="00000000" w:rsidP="00000000" w:rsidRDefault="00000000" w:rsidRPr="00000000" w14:paraId="00000009">
      <w:pPr>
        <w:spacing w:after="140" w:line="240" w:lineRule="auto"/>
        <w:jc w:val="both"/>
        <w:rPr>
          <w:rFonts w:ascii="Times New Roman" w:cs="Times New Roman" w:eastAsia="Times New Roman" w:hAnsi="Times New Roman"/>
          <w:sz w:val="24"/>
          <w:szCs w:val="24"/>
        </w:rPr>
      </w:pPr>
      <w:r>
        <w:rPr>
          <w:rFonts w:ascii="Times New Roman" w:cs="Times New Roman" w:eastAsia="Times New Roman" w:hAnsi="Times New Roman"/>
          <w:i/>
          <w:iCs/>
          <w:color w:val="FF0000"/>
          <w:sz w:val="26"/>
          <w:szCs w:val="26"/>
        </w:rPr>
        <w:t xml:space="preserve">Bản sửa theo nhận xét của Khoa (tháng 10/2026): chữ đỏ là phần thêm mới hoặc sửa so với đề cương đã nộp, phần bị lược bỏ không hiển thị. Trước khi nộp bản chính thức, xóa dòng này và chuyển chữ đỏ về màu đen.</w:t>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color w:val="FF0000"/>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color w:val="FF0000"/>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color w:val="FF0000"/>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color w:val="FF0000"/>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color w:val="FF0000"/>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color w:val="FF0000"/>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Bối cảnh. </w:t>
            </w:r>
            <w:r>
              <w:rPr>
                <w:rFonts w:ascii="Times New Roman" w:cs="Times New Roman" w:eastAsia="Times New Roman" w:hAnsi="Times New Roman"/>
                <w:color w:val="FF0000"/>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color w:val="FF0000"/>
                <w:sz w:val="26"/>
                <w:szCs w:val="26"/>
              </w:rPr>
              <w:t xml:space="preserve">[2]</w:t>
            </w:r>
            <w:r>
              <w:rPr>
                <w:rFonts w:ascii="Times New Roman" w:cs="Times New Roman" w:eastAsia="Times New Roman" w:hAnsi="Times New Roman"/>
                <w:color w:val="FF0000"/>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color w:val="FF0000"/>
                <w:sz w:val="26"/>
                <w:szCs w:val="26"/>
              </w:rPr>
              <w:t xml:space="preserve">[3]</w:t>
            </w:r>
            <w:r>
              <w:rPr>
                <w:rFonts w:ascii="Times New Roman" w:cs="Times New Roman" w:eastAsia="Times New Roman" w:hAnsi="Times New Roman"/>
                <w:color w:val="FF0000"/>
                <w:sz w:val="26"/>
                <w:szCs w:val="26"/>
              </w:rPr>
              <w:t xml:space="preserve">. Tại Việt Nam, Luật Quảng cáo sửa đổi năm 2025 yêu cầu người có ảnh hưởng khi chuyển tải quảng cáo phải kiểm tra tài liệu liên quan đến sản phẩm (Điều 15a, khoản 3, điểm a) </w:t>
            </w:r>
            <w:r>
              <w:rPr>
                <w:rFonts w:ascii="Times New Roman" w:cs="Times New Roman" w:eastAsia="Times New Roman" w:hAnsi="Times New Roman"/>
                <w:color w:val="FF0000"/>
                <w:sz w:val="26"/>
                <w:szCs w:val="26"/>
              </w:rPr>
              <w:t xml:space="preserve">[4]</w:t>
            </w:r>
            <w:r>
              <w:rPr>
                <w:rFonts w:ascii="Times New Roman" w:cs="Times New Roman" w:eastAsia="Times New Roman" w:hAnsi="Times New Roman"/>
                <w:color w:val="FF0000"/>
                <w:sz w:val="26"/>
                <w:szCs w:val="26"/>
              </w:rPr>
              <w:t xml:space="preserve">. Quảng cáo do LLM tạo vì thế cần được kiểm chứng với tài liệu chính hãng trước khi đăng.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được xây dựng thành một tính năng của website CopyPro mà sinh viên phát triển trong đồ án chuyên ngành. CopyPro dùng nhiều LLM để tạo quảng cáo cho 10 ngành, đã có chấm điểm chất lượng và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kiểm chứng quảng cáo sau khi tạo, và đánh giá ở cả hai trường hợp: có và không có đoạn thông số chính hãng trong yêu cầu gửi cho LLM.</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Các nghiên cứu liên quan. </w:t>
            </w:r>
            <w:r>
              <w:rPr>
                <w:rFonts w:ascii="Times New Roman" w:cs="Times New Roman" w:eastAsia="Times New Roman" w:hAnsi="Times New Roman"/>
                <w:color w:val="FF0000"/>
                <w:sz w:val="26"/>
                <w:szCs w:val="26"/>
              </w:rPr>
              <w:t xml:space="preserve">FEVER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đặt bài toán kiểm chứng gồm truy hồi bằng chứng và gán một trong ba nhãn Supported, Refuted, Not Enough Info.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Tang và cộng sự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tách riêng loại tuyên bố nửa sự thật này trên dữ liệu PolitiFact. Với tiếng Việt, ViFactCheck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kiểm chứng tin tức đa lĩnh vực, ViNumFCR </w:t>
            </w:r>
            <w:r>
              <w:rPr>
                <w:rFonts w:ascii="Times New Roman" w:cs="Times New Roman" w:eastAsia="Times New Roman" w:hAnsi="Times New Roman"/>
                <w:color w:val="FF0000"/>
                <w:sz w:val="26"/>
                <w:szCs w:val="26"/>
              </w:rPr>
              <w:t xml:space="preserve">[9]</w:t>
            </w:r>
            <w:r>
              <w:rPr>
                <w:rFonts w:ascii="Times New Roman" w:cs="Times New Roman" w:eastAsia="Times New Roman" w:hAnsi="Times New Roman"/>
                <w:color w:val="FF0000"/>
                <w:sz w:val="26"/>
                <w:szCs w:val="26"/>
              </w:rPr>
              <w:t xml:space="preserve"> tập trung vào tuyên bố số liệu, SemViQA </w:t>
            </w:r>
            <w:r>
              <w:rPr>
                <w:rFonts w:ascii="Times New Roman" w:cs="Times New Roman" w:eastAsia="Times New Roman" w:hAnsi="Times New Roman"/>
                <w:color w:val="FF0000"/>
                <w:sz w:val="26"/>
                <w:szCs w:val="26"/>
              </w:rPr>
              <w:t xml:space="preserve">[10]</w:t>
            </w:r>
            <w:r>
              <w:rPr>
                <w:rFonts w:ascii="Times New Roman" w:cs="Times New Roman" w:eastAsia="Times New Roman" w:hAnsi="Times New Roman"/>
                <w:color w:val="FF0000"/>
                <w:sz w:val="26"/>
                <w:szCs w:val="26"/>
              </w:rPr>
              <w:t xml:space="preserve"> kết hợp truy hồi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NumPert </w:t>
            </w:r>
            <w:r>
              <w:rPr>
                <w:rFonts w:ascii="Times New Roman" w:cs="Times New Roman" w:eastAsia="Times New Roman" w:hAnsi="Times New Roman"/>
                <w:color w:val="FF0000"/>
                <w:sz w:val="26"/>
                <w:szCs w:val="26"/>
              </w:rPr>
              <w:t xml:space="preserve">[11]</w:t>
            </w:r>
            <w:r>
              <w:rPr>
                <w:rFonts w:ascii="Times New Roman" w:cs="Times New Roman" w:eastAsia="Times New Roman" w:hAnsi="Times New Roman"/>
                <w:color w:val="FF0000"/>
                <w:sz w:val="26"/>
                <w:szCs w:val="26"/>
              </w:rPr>
              <w:t xml:space="preserve"> cho thấy độ chính xác của các mô hình ngôn ngữ, kể cả mô hình thương mại hàng đầu, có thể giảm đến 62% khi con số trong tuyên bố bị thay đổi có kiểm soát. VeriFin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kiểm chứng tuyên bố số liệu tài chính do LLM sinh bằng bộ giải ký hiệu trên dữ liệu có cấu trúc và không chấp nhận nhầm tuyên bố sai nào trong thực nghiệm của tác giả. FactLens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color w:val="FF0000"/>
                <w:sz w:val="26"/>
                <w:szCs w:val="26"/>
              </w:rPr>
              <w:t xml:space="preserve"> đánh giá việc tách tuyên bố phức tạp thành tuyên bố nhỏ; MiniCheck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kiểm tra tuyên bố trong văn bản do LLM tạo có được tài liệu nền hỗ trợ hay không. Gần nhất về miền ứng dụng, Nguyen và cộng sự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dùng LLM trích giấy phép, địa chỉ, dịch vụ trong quảng cáo dịch vụ làm đẹp rồi so khớp với dữ liệu cấp phép của cơ quan y tế, còn Jiang và cộng sự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phát hiện ảo giác trong thông tin sản phẩm do LLM bổ sung trên sàn thương mại điện tử.</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Hạn chế của các phương pháp hiện có. </w:t>
            </w:r>
            <w:r>
              <w:rPr>
                <w:rFonts w:ascii="Times New Roman" w:cs="Times New Roman" w:eastAsia="Times New Roman" w:hAnsi="Times New Roman"/>
                <w:color w:val="FF0000"/>
                <w:sz w:val="26"/>
                <w:szCs w:val="26"/>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tuyên bố đúng con số nhưng thiếu điều kiện dễ bị chấp nhận là Supported; lớp gây hiểu nhầm vẫn là điểm yếu, ví dụ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đạt F1 bằng 0 ở nhãn Conflicting/Cherry-picking trên tập phát triển của AVeriTeC. Hướng nửa sự thật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phải suy luận ngữ cảnh bị bỏ, trong khi điều kiện của thông số được hãng công bố tường minh nên có thể liệt kê và đối chiếu. VeriFin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kiểm tra tất định trên dữ liệu có cấu trúc, còn trang thông số và quảng cáo là văn bản tự do, điều kiện thường nằm ở chú thích tách khỏi con số. Trong các tài liệu đã khảo sát đến tháng 10/2026, chưa thấy nghiên cứu kiểm chứng tuyên bố thông số có điều kiện ràng buộc trong quảng cáo, nhất là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Bảng 1. So sánh các nghiên cứu liên quan với đề tài</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900"/>
              <w:gridCol w:w="2350"/>
              <w:gridCol w:w="2450"/>
              <w:gridCol w:w="2500"/>
            </w:tblGrid>
            <w:tr>
              <w:trPr>
                <w:cantSplit/>
                <w:tblHeader/>
              </w:trPr>
              <w:tc>
                <w:tcPr>
                  <w:tcW w:w="19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Nghiên cứu</w:t>
                  </w:r>
                </w:p>
              </w:tc>
              <w:tc>
                <w:tcPr>
                  <w:tcW w:w="235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Dữ liệu và nhãn</w:t>
                  </w:r>
                </w:p>
              </w:tc>
              <w:tc>
                <w:tcPr>
                  <w:tcW w:w="245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Cách xác định nhãn</w:t>
                  </w:r>
                </w:p>
              </w:tc>
              <w:tc>
                <w:tcPr>
                  <w:tcW w:w="25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Với điều kiện ràng buộc</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FEVER </w:t>
                  </w:r>
                  <w:r>
                    <w:rPr>
                      <w:rFonts w:ascii="Times New Roman" w:cs="Times New Roman" w:eastAsia="Times New Roman" w:hAnsi="Times New Roman"/>
                      <w:color w:val="FF0000"/>
                      <w:sz w:val="21"/>
                      <w:szCs w:val="21"/>
                    </w:rPr>
                    <w:t xml:space="preserve">[5]</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Câu Wikipedia; Supported, Refuted, NEI</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Truy hồi bằng chứng, phân loại cặp tuyên bố và bằng chứng</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có nhãn cho tuyên bố đúng số, sai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AVeriTeC </w:t>
                  </w:r>
                  <w:r>
                    <w:rPr>
                      <w:rFonts w:ascii="Times New Roman" w:cs="Times New Roman" w:eastAsia="Times New Roman" w:hAnsi="Times New Roman"/>
                      <w:color w:val="FF0000"/>
                      <w:sz w:val="21"/>
                      <w:szCs w:val="21"/>
                    </w:rPr>
                    <w:t xml:space="preserve">[6]</w:t>
                  </w:r>
                  <w:r>
                    <w:rPr>
                      <w:rFonts w:ascii="Times New Roman" w:cs="Times New Roman" w:eastAsia="Times New Roman" w:hAnsi="Times New Roman"/>
                      <w:color w:val="FF0000"/>
                      <w:sz w:val="21"/>
                      <w:szCs w:val="21"/>
                    </w:rPr>
                    <w:t xml:space="preserve">, Fathom </w:t>
                  </w:r>
                  <w:r>
                    <w:rPr>
                      <w:rFonts w:ascii="Times New Roman" w:cs="Times New Roman" w:eastAsia="Times New Roman" w:hAnsi="Times New Roman"/>
                      <w:color w:val="FF0000"/>
                      <w:sz w:val="21"/>
                      <w:szCs w:val="21"/>
                    </w:rPr>
                    <w:t xml:space="preserve">[16]</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thực tế; thêm nhãn Conflicting/Cherry-picking</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hoặc mô hình phân loại trên bằng chứng truy hồi</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Nhãn gây hiểu nhầm không gắn điều kiện; Fathom đạt F1 bằng 0 ở nhãn này</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Tang và cộng sự </w:t>
                  </w:r>
                  <w:r>
                    <w:rPr>
                      <w:rFonts w:ascii="Times New Roman" w:cs="Times New Roman" w:eastAsia="Times New Roman" w:hAnsi="Times New Roman"/>
                      <w:color w:val="FF0000"/>
                      <w:sz w:val="21"/>
                      <w:szCs w:val="21"/>
                    </w:rPr>
                    <w:t xml:space="preserve">[7]</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chính trị; thêm nhãn nửa sự thật</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Suy ra ý định, ước lượng ảnh hưởng của ngữ cảnh bị bỏ</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Phải suy luận ngữ cảnh bị bỏ, không có danh mục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ViFactCheck </w:t>
                  </w:r>
                  <w:r>
                    <w:rPr>
                      <w:rFonts w:ascii="Times New Roman" w:cs="Times New Roman" w:eastAsia="Times New Roman" w:hAnsi="Times New Roman"/>
                      <w:color w:val="FF0000"/>
                      <w:sz w:val="21"/>
                      <w:szCs w:val="21"/>
                    </w:rPr>
                    <w:t xml:space="preserve">[8]</w:t>
                  </w:r>
                  <w:r>
                    <w:rPr>
                      <w:rFonts w:ascii="Times New Roman" w:cs="Times New Roman" w:eastAsia="Times New Roman" w:hAnsi="Times New Roman"/>
                      <w:color w:val="FF0000"/>
                      <w:sz w:val="21"/>
                      <w:szCs w:val="21"/>
                    </w:rPr>
                    <w:t xml:space="preserve">, SemViQA </w:t>
                  </w:r>
                  <w:r>
                    <w:rPr>
                      <w:rFonts w:ascii="Times New Roman" w:cs="Times New Roman" w:eastAsia="Times New Roman" w:hAnsi="Times New Roman"/>
                      <w:color w:val="FF0000"/>
                      <w:sz w:val="21"/>
                      <w:szCs w:val="21"/>
                    </w:rPr>
                    <w:t xml:space="preserve">[10]</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Tin tức, Wikipedia tiếng Việt; ba nhãn</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Truy hồi bằng chứng, phân loại nhãn</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xét; dữ liệu không thuộc miền thông số</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ViNumFCR </w:t>
                  </w:r>
                  <w:r>
                    <w:rPr>
                      <w:rFonts w:ascii="Times New Roman" w:cs="Times New Roman" w:eastAsia="Times New Roman" w:hAnsi="Times New Roman"/>
                      <w:color w:val="FF0000"/>
                      <w:sz w:val="21"/>
                      <w:szCs w:val="21"/>
                    </w:rPr>
                    <w:t xml:space="preserve">[9]</w:t>
                  </w:r>
                  <w:r>
                    <w:rPr>
                      <w:rFonts w:ascii="Times New Roman" w:cs="Times New Roman" w:eastAsia="Times New Roman" w:hAnsi="Times New Roman"/>
                      <w:color w:val="FF0000"/>
                      <w:sz w:val="21"/>
                      <w:szCs w:val="21"/>
                    </w:rPr>
                    <w:t xml:space="preserve">, NumPert </w:t>
                  </w:r>
                  <w:r>
                    <w:rPr>
                      <w:rFonts w:ascii="Times New Roman" w:cs="Times New Roman" w:eastAsia="Times New Roman" w:hAnsi="Times New Roman"/>
                      <w:color w:val="FF0000"/>
                      <w:sz w:val="21"/>
                      <w:szCs w:val="21"/>
                    </w:rPr>
                    <w:t xml:space="preserve">[11]</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số liệu, có tiếng Việt</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Mô hình ngôn ngữ suy luận trên con số</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Xét con số, không xét điều kiện đi kèm</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MiniCheck </w:t>
                  </w:r>
                  <w:r>
                    <w:rPr>
                      <w:rFonts w:ascii="Times New Roman" w:cs="Times New Roman" w:eastAsia="Times New Roman" w:hAnsi="Times New Roman"/>
                      <w:color w:val="FF0000"/>
                      <w:sz w:val="21"/>
                      <w:szCs w:val="21"/>
                    </w:rPr>
                    <w:t xml:space="preserve">[14]</w:t>
                  </w:r>
                  <w:r>
                    <w:rPr>
                      <w:rFonts w:ascii="Times New Roman" w:cs="Times New Roman" w:eastAsia="Times New Roman" w:hAnsi="Times New Roman"/>
                      <w:color w:val="FF0000"/>
                      <w:sz w:val="21"/>
                      <w:szCs w:val="21"/>
                    </w:rPr>
                    <w:t xml:space="preserve">, Jiang và cộng sự </w:t>
                  </w:r>
                  <w:r>
                    <w:rPr>
                      <w:rFonts w:ascii="Times New Roman" w:cs="Times New Roman" w:eastAsia="Times New Roman" w:hAnsi="Times New Roman"/>
                      <w:color w:val="FF0000"/>
                      <w:sz w:val="21"/>
                      <w:szCs w:val="21"/>
                    </w:rPr>
                    <w:t xml:space="preserve">[1]</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Văn bản do LLM tạo; thông tin sản phẩm</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Kiểm tra câu hoặc thuộc tính có được nguồn hỗ trợ</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tách sai giá trị với lệch điều kiện</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VeriFin </w:t>
                  </w:r>
                  <w:r>
                    <w:rPr>
                      <w:rFonts w:ascii="Times New Roman" w:cs="Times New Roman" w:eastAsia="Times New Roman" w:hAnsi="Times New Roman"/>
                      <w:color w:val="FF0000"/>
                      <w:sz w:val="21"/>
                      <w:szCs w:val="21"/>
                    </w:rPr>
                    <w:t xml:space="preserve">[12]</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Tuyên bố số liệu tài chính do LLM sinh</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Bộ giải ký hiệu trên dữ liệu XBRL có cấu trúc</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Kiểm tra tất định nhưng cần dữ liệu có cấu trúc</w:t>
                  </w:r>
                </w:p>
              </w:tc>
            </w:tr>
            <w:tr>
              <w:trPr>
                <w:cantSplit/>
              </w:trPr>
              <w:tc>
                <w:tcPr>
                  <w:tcW w:w="1900" w:type="dxa"/>
                </w:tcPr>
                <w:p>
                  <w:pPr>
                    <w:spacing w:before="20" w:after="20" w:line="252" w:lineRule="auto"/>
                    <w:jc w:val="left"/>
                  </w:pPr>
                  <w:r>
                    <w:rPr>
                      <w:rFonts w:ascii="Times New Roman" w:cs="Times New Roman" w:eastAsia="Times New Roman" w:hAnsi="Times New Roman"/>
                      <w:color w:val="FF0000"/>
                      <w:sz w:val="21"/>
                      <w:szCs w:val="21"/>
                    </w:rPr>
                    <w:t xml:space="preserve">Nguyen và cộng sự </w:t>
                  </w:r>
                  <w:r>
                    <w:rPr>
                      <w:rFonts w:ascii="Times New Roman" w:cs="Times New Roman" w:eastAsia="Times New Roman" w:hAnsi="Times New Roman"/>
                      <w:color w:val="FF0000"/>
                      <w:sz w:val="21"/>
                      <w:szCs w:val="21"/>
                    </w:rPr>
                    <w:t xml:space="preserve">[15]</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Quảng cáo dịch vụ làm đẹp; một nhãn cho cả bài</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trích thông tin, so khớp theo ngưỡng tương đồng</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Không biểu diễn điều kiện của thông số</w:t>
                  </w:r>
                </w:p>
              </w:tc>
            </w:tr>
            <w:tr>
              <w:trPr>
                <w:cantSplit/>
              </w:trPr>
              <w:tc>
                <w:tcPr>
                  <w:tcW w:w="1900" w:type="dxa"/>
                </w:tcPr>
                <w:p>
                  <w:pPr>
                    <w:spacing w:before="20" w:after="20" w:line="252" w:lineRule="auto"/>
                    <w:jc w:val="left"/>
                  </w:pPr>
                  <w:r>
                    <w:rPr>
                      <w:rFonts w:ascii="Times New Roman" w:cs="Times New Roman" w:eastAsia="Times New Roman" w:hAnsi="Times New Roman"/>
                      <w:b/>
                      <w:bCs/>
                      <w:color w:val="FF0000"/>
                      <w:sz w:val="21"/>
                      <w:szCs w:val="21"/>
                    </w:rPr>
                    <w:t xml:space="preserve">Đề tài này</w:t>
                  </w:r>
                </w:p>
              </w:tc>
              <w:tc>
                <w:tcPr>
                  <w:tcW w:w="2350" w:type="dxa"/>
                </w:tcPr>
                <w:p>
                  <w:pPr>
                    <w:spacing w:before="20" w:after="20" w:line="252" w:lineRule="auto"/>
                    <w:jc w:val="left"/>
                  </w:pPr>
                  <w:r>
                    <w:rPr>
                      <w:rFonts w:ascii="Times New Roman" w:cs="Times New Roman" w:eastAsia="Times New Roman" w:hAnsi="Times New Roman"/>
                      <w:color w:val="FF0000"/>
                      <w:sz w:val="21"/>
                      <w:szCs w:val="21"/>
                    </w:rPr>
                    <w:t xml:space="preserve">Quảng cáo tiếng Việt do LLM tạo; bốn nhãn</w:t>
                  </w:r>
                </w:p>
              </w:tc>
              <w:tc>
                <w:tcPr>
                  <w:tcW w:w="2450" w:type="dxa"/>
                </w:tcPr>
                <w:p>
                  <w:pPr>
                    <w:spacing w:before="20" w:after="20" w:line="252" w:lineRule="auto"/>
                    <w:jc w:val="left"/>
                  </w:pPr>
                  <w:r>
                    <w:rPr>
                      <w:rFonts w:ascii="Times New Roman" w:cs="Times New Roman" w:eastAsia="Times New Roman" w:hAnsi="Times New Roman"/>
                      <w:color w:val="FF0000"/>
                      <w:sz w:val="21"/>
                      <w:szCs w:val="21"/>
                    </w:rPr>
                    <w:t xml:space="preserve">LLM trích xuất có neo nguồn, bộ quyết định theo quy tắc</w:t>
                  </w:r>
                </w:p>
              </w:tc>
              <w:tc>
                <w:tcPr>
                  <w:tcW w:w="2500" w:type="dxa"/>
                </w:tcPr>
                <w:p>
                  <w:pPr>
                    <w:spacing w:before="20" w:after="20" w:line="252" w:lineRule="auto"/>
                    <w:jc w:val="left"/>
                  </w:pPr>
                  <w:r>
                    <w:rPr>
                      <w:rFonts w:ascii="Times New Roman" w:cs="Times New Roman" w:eastAsia="Times New Roman" w:hAnsi="Times New Roman"/>
                      <w:color w:val="FF0000"/>
                      <w:sz w:val="21"/>
                      <w:szCs w:val="21"/>
                    </w:rPr>
                    <w:t xml:space="preserve">Đối chiếu tường minh sáu loại điều kiện; nhãn cho từng tuyên bố</w:t>
                  </w:r>
                </w:p>
              </w:tc>
            </w:tr>
          </w:tbl>
          <w:p>
            <w:pPr>
              <w:spacing w:before="0" w:after="40" w:line="240" w:lineRule="auto"/>
              <w:rPr>
                <w:sz w:val="12"/>
                <w:szCs w:val="12"/>
              </w:rPr>
            </w:pP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Ví dụ, trang thông số Galaxy Buds3 Pro ghi thời lượng phát nhạc lên đến 6 giờ khi bật chống ồn và 7 giờ khi tắt chống ồn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trả lời ba câu hỏi nghiên cứu: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không xây dựng lại một hệ thống kiểm chứng tổng quát. Các thành phần riêng lẻ như tách tuyên bố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color w:val="FF0000"/>
                <w:sz w:val="26"/>
                <w:szCs w:val="26"/>
              </w:rPr>
              <w:t xml:space="preserve">, truy hồi BM25 </w:t>
            </w:r>
            <w:r>
              <w:rPr>
                <w:rFonts w:ascii="Times New Roman" w:cs="Times New Roman" w:eastAsia="Times New Roman" w:hAnsi="Times New Roman"/>
                <w:color w:val="FF0000"/>
                <w:sz w:val="26"/>
                <w:szCs w:val="26"/>
              </w:rPr>
              <w:t xml:space="preserve">[18]</w:t>
            </w:r>
            <w:r>
              <w:rPr>
                <w:rFonts w:ascii="Times New Roman" w:cs="Times New Roman" w:eastAsia="Times New Roman" w:hAnsi="Times New Roman"/>
                <w:color w:val="FF0000"/>
                <w:sz w:val="26"/>
                <w:szCs w:val="26"/>
              </w:rPr>
              <w:t xml:space="preserve">, dùng LLM trích thông tin rồi so khớp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nhãn gây hiểu nhầm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hay kiểm tra tất định yếu tố đi kèm con số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đã có; điểm mới nằm ở cách biểu diễn và đối chiếu điều kiện ràng buộc trong văn bản quảng cáo, nêu dưới đây.</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Cụ thể hóa lớp tuyên bố gây hiểu nhầm (nhãn Cherry-picking của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tuyên bố nửa sự thật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thành nhãn Lệch điều kiện cho thông số kỹ thuật, xác định bằng phép đối chiếu điều kiện tường minh thay vì để LLM tự phán đoán hay suy luận ngữ cảnh bị bỏ.</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Biểu diễn mỗi thông số, ở cả tuyên bố và tài liệu, thành bộ (sản phẩm và phiên bản, bộ phận, thuộc tính, giá trị, đơn vị, điều kiện ràng buộc, kiểu giá trị). Bộ này được LLM trích từ văn bản tự do nên mỗi trường phải kèm câu trích nguyên văn để Python kiểm tra (neo nguồn); bước kiểm tra đầy đủ theo các cách diễn đạt điều kiện trong tệp cấu hình phát hiện điều kiện bị bỏ sót. Bộ quyết định không gắn với nhóm sản phẩm; thêm nhóm mới chỉ cần thêm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gồm trích xuất có neo nguồn và bộ quyết định bốn nhãn,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w:t>
            </w:r>
            <w:r>
              <w:rPr>
                <w:rFonts w:ascii="Times New Roman" w:cs="Times New Roman" w:eastAsia="Times New Roman" w:hAnsi="Times New Roman"/>
                <w:color w:val="FF0000"/>
                <w:sz w:val="26"/>
                <w:szCs w:val="26"/>
              </w:rPr>
              <w:t xml:space="preserve">[19]</w:t>
            </w:r>
            <w:r>
              <w:rPr>
                <w:rFonts w:ascii="Times New Roman" w:cs="Times New Roman" w:eastAsia="Times New Roman" w:hAnsi="Times New Roman"/>
                <w:color w:val="FF0000"/>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Kết quả đánh giá có đối chứng với bốn cách kiểm chứng hiện có và hai bản bỏ thành phần, trên cùng tuyên bố và cùng bằng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Tính năng “Kiểm chứng thông số” trong CopyPro giúp người viết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kiểm chứng ba nhãn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[10]</w:t>
            </w:r>
            <w:r>
              <w:rPr>
                <w:rFonts w:ascii="Times New Roman" w:cs="Times New Roman" w:eastAsia="Times New Roman" w:hAnsi="Times New Roman"/>
                <w:color w:val="FF0000"/>
                <w:sz w:val="26"/>
                <w:szCs w:val="26"/>
              </w:rPr>
              <w:t xml:space="preserve">: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để LLM gán bốn nhãn bằng câu lệnh theo kiểu AVeriTeC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nhãn được quyết định bằng quy tắc tường minh trên dữ liệu đã neo nguồn nên giải thích và kiểm thử được; kỳ vọng tăng F1 của nhãn Lệch điều kiện, lớp mà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các cách kiểm tra quảng cáo và văn bản do LLM tạo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kiểm chứng từng tuyên bố, so khớp theo điều kiện thay vì theo độ tương đồng, nên phân biệt được sai giá trị với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color w:val="FF0000"/>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color w:val="FF0000"/>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color w:val="FF0000"/>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color w:val="FF0000"/>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color w:val="FF0000"/>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M4. 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color w:val="FF0000"/>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color w:val="FF0000"/>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color w:val="FF0000"/>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color w:val="FF0000"/>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Ba nhóm được chọn thỏa cả bốn tiêu chí: iPhone 17 công bố tốc độ sạc kèm công suất bộ tiếp hợp và độ sáng theo điều kiện hiển thị (mục 1) </w:t>
            </w:r>
            <w:r>
              <w:rPr>
                <w:rFonts w:ascii="Times New Roman" w:cs="Times New Roman" w:eastAsia="Times New Roman" w:hAnsi="Times New Roman"/>
                <w:color w:val="FF0000"/>
                <w:sz w:val="26"/>
                <w:szCs w:val="26"/>
              </w:rPr>
              <w:t xml:space="preserve">[2]</w:t>
            </w:r>
            <w:r>
              <w:rPr>
                <w:rFonts w:ascii="Times New Roman" w:cs="Times New Roman" w:eastAsia="Times New Roman" w:hAnsi="Times New Roman"/>
                <w:color w:val="FF0000"/>
                <w:sz w:val="26"/>
                <w:szCs w:val="26"/>
              </w:rPr>
              <w:t xml:space="preserve">; Galaxy Buds3 Pro công bố thời lượng pin theo chế độ chống ồn, chuẩn IP57 dựa trên thử ngâm 1 mét nước ngọt tối đa 30 phút và chỉ áp dụng cho tai nghe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Apple Watch SE 3 dùng được lên đến 18 giờ ở chế độ thường và 32 giờ ở chế độ nguồn điện thấp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CopyPro tạo ở ngành Công nghệ bằng hai LLM thuộc hai họ mô hình khác nhau (dự kiến Gemini 3.6 Flash và GPT-OSS 120B qua Groq, đều chưa có lịch ngừng phục vụ; Llama 3.3 70B mà website đang dùng đã bị Groq ngừng từ 16/08/2026), với ba loại bài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color w:val="FF0000"/>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color w:val="FF0000"/>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color w:val="FF0000"/>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[18]</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Trích xuất có neo nguồn: LLM chuyển tuyên bố và các đoạn bằng chứng thành bộ thông số bảy trường nêu ở mục 3, mỗi trường kèm câu trích nguyên văn. Python kiểm tra câu trích có trong văn bản gốc và con số trong câu trích bằng giá trị đã trích; trường không đạt bị loại thay vì đoán. Bước kiểm tra đầy đủ bổ sung điều kiện có trong văn bản mà LLM bỏ sót, nhận theo các cách diễn đạt trong tệp cấu hình;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color w:val="FF0000"/>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w:t>
            </w:r>
            <w:r>
              <w:rPr>
                <w:rFonts w:ascii="Times New Roman" w:cs="Times New Roman" w:eastAsia="Times New Roman" w:hAnsi="Times New Roman"/>
                <w:color w:val="FF0000"/>
                <w:sz w:val="26"/>
                <w:szCs w:val="26"/>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color w:val="FF0000"/>
                <w:sz w:val="26"/>
                <w:szCs w:val="26"/>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Bảng 2. Các phương pháp được so sánh và vai trò của từng phương pháp</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000"/>
              <w:gridCol w:w="5000"/>
              <w:gridCol w:w="3200"/>
            </w:tblGrid>
            <w:tr>
              <w:trPr>
                <w:cantSplit/>
                <w:tblHeader/>
              </w:trPr>
              <w:tc>
                <w:tcPr>
                  <w:tcW w:w="10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Ký hiệu</w:t>
                  </w:r>
                </w:p>
              </w:tc>
              <w:tc>
                <w:tcPr>
                  <w:tcW w:w="50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Cách gán nhãn</w:t>
                  </w:r>
                </w:p>
              </w:tc>
              <w:tc>
                <w:tcPr>
                  <w:tcW w:w="3200" w:type="dxa"/>
                  <w:vAlign w:val="center"/>
                </w:tcPr>
                <w:p>
                  <w:pPr>
                    <w:spacing w:before="20" w:after="20" w:line="252" w:lineRule="auto"/>
                    <w:jc w:val="center"/>
                  </w:pPr>
                  <w:r>
                    <w:rPr>
                      <w:rFonts w:ascii="Times New Roman" w:cs="Times New Roman" w:eastAsia="Times New Roman" w:hAnsi="Times New Roman"/>
                      <w:b/>
                      <w:bCs/>
                      <w:color w:val="FF0000"/>
                      <w:sz w:val="21"/>
                      <w:szCs w:val="21"/>
                    </w:rPr>
                    <w:t xml:space="preserve">Vai trò trong so sánh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B0</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trực tiếp rồi gán nhãn</w:t>
                  </w:r>
                  <w:r>
                    <w:rPr>
                      <w:rFonts w:ascii="Times New Roman" w:cs="Times New Roman" w:eastAsia="Times New Roman" w:hAnsi="Times New Roman"/>
                      <w:color w:val="FF0000"/>
                      <w:sz w:val="21"/>
                      <w:szCs w:val="21"/>
                    </w:rPr>
                    <w:t xml:space="preserve"> theo ba lớp Supported, Refuted, NEI</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Đại diện kiểm chứng ba nhãn phổ biến </w:t>
                  </w:r>
                  <w:r>
                    <w:rPr>
                      <w:rFonts w:ascii="Times New Roman" w:cs="Times New Roman" w:eastAsia="Times New Roman" w:hAnsi="Times New Roman"/>
                      <w:color w:val="FF0000"/>
                      <w:sz w:val="21"/>
                      <w:szCs w:val="21"/>
                    </w:rPr>
                    <w:t xml:space="preserve">[5]</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B1</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nhận thông tin có cấu trúc rồi gán nhãn</w:t>
                  </w:r>
                  <w:r>
                    <w:rPr>
                      <w:rFonts w:ascii="Times New Roman" w:cs="Times New Roman" w:eastAsia="Times New Roman" w:hAnsi="Times New Roman"/>
                      <w:color w:val="FF0000"/>
                      <w:sz w:val="21"/>
                      <w:szCs w:val="21"/>
                    </w:rPr>
                    <w:t xml:space="preserve"> bốn lớp, cùng bộ thông số và hướng dẫn gán nhãn với P</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Tách riêng tác động của bộ quyết định</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B2</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LLM đọc bằng chứng, gán bốn nhãn theo hướng dẫn có định nghĩa và ví dụ nhãn Lệch điều kiện</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Khắc phục chỉ bằng câu lệnh, theo cách đặt nhãn của AVeriTeC </w:t>
                  </w:r>
                  <w:r>
                    <w:rPr>
                      <w:rFonts w:ascii="Times New Roman" w:cs="Times New Roman" w:eastAsia="Times New Roman" w:hAnsi="Times New Roman"/>
                      <w:color w:val="FF0000"/>
                      <w:sz w:val="21"/>
                      <w:szCs w:val="21"/>
                    </w:rPr>
                    <w:t xml:space="preserve">[6]</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B3</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Mô hình ba nhãn tiếng Việt đã huấn luyện sẵn của SemViQA </w:t>
                  </w:r>
                  <w:r>
                    <w:rPr>
                      <w:rFonts w:ascii="Times New Roman" w:cs="Times New Roman" w:eastAsia="Times New Roman" w:hAnsi="Times New Roman"/>
                      <w:color w:val="FF0000"/>
                      <w:sz w:val="21"/>
                      <w:szCs w:val="21"/>
                    </w:rPr>
                    <w:t xml:space="preserve">[10]</w:t>
                  </w:r>
                  <w:r>
                    <w:rPr>
                      <w:rFonts w:ascii="Times New Roman" w:cs="Times New Roman" w:eastAsia="Times New Roman" w:hAnsi="Times New Roman"/>
                      <w:color w:val="FF0000"/>
                      <w:sz w:val="21"/>
                      <w:szCs w:val="21"/>
                    </w:rPr>
                    <w:t xml:space="preserve">, chạy trên cặp tuyên bố và bằng chứng</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Hệ thống kiểm chứng tiếng Việt sẵn có</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P−ĐK</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P bỏ đối chiếu điều kiện, chỉ so giá trị</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Đo đóng góp của đối chiếu điều kiện</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P−NN</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P bỏ neo nguồn và kiểm tra đầy đủ</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Đo đóng góp của neo nguồn</w:t>
                  </w:r>
                </w:p>
              </w:tc>
            </w:tr>
            <w:tr>
              <w:trPr>
                <w:cantSplit/>
              </w:trPr>
              <w:tc>
                <w:tcPr>
                  <w:tcW w:w="1000" w:type="dxa"/>
                </w:tcPr>
                <w:p>
                  <w:pPr>
                    <w:spacing w:before="20" w:after="20" w:line="252" w:lineRule="auto"/>
                    <w:jc w:val="left"/>
                  </w:pPr>
                  <w:r>
                    <w:rPr>
                      <w:rFonts w:ascii="Times New Roman" w:cs="Times New Roman" w:eastAsia="Times New Roman" w:hAnsi="Times New Roman"/>
                      <w:color w:val="FF0000"/>
                      <w:sz w:val="21"/>
                      <w:szCs w:val="21"/>
                    </w:rPr>
                    <w:t xml:space="preserve">B4</w:t>
                  </w:r>
                </w:p>
              </w:tc>
              <w:tc>
                <w:tcPr>
                  <w:tcW w:w="5000" w:type="dxa"/>
                </w:tcPr>
                <w:p>
                  <w:pPr>
                    <w:spacing w:before="20" w:after="20" w:line="252" w:lineRule="auto"/>
                    <w:jc w:val="left"/>
                  </w:pPr>
                  <w:r>
                    <w:rPr>
                      <w:rFonts w:ascii="Times New Roman" w:cs="Times New Roman" w:eastAsia="Times New Roman" w:hAnsi="Times New Roman"/>
                      <w:color w:val="FF0000"/>
                      <w:sz w:val="21"/>
                      <w:szCs w:val="21"/>
                    </w:rPr>
                    <w:t xml:space="preserve">Như B2 nhưng dùng LLM mạnh hơn có chế độ suy luận</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Mốc tham chiếu (phần mở rộng), không dùng kiểm định giả thuyết</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trích xuất thông tin</w:t>
                  </w:r>
                  <w:r>
                    <w:rPr>
                      <w:rFonts w:ascii="Times New Roman" w:cs="Times New Roman" w:eastAsia="Times New Roman" w:hAnsi="Times New Roman"/>
                      <w:color w:val="FF0000"/>
                      <w:sz w:val="21"/>
                      <w:szCs w:val="21"/>
                    </w:rPr>
                    <w:t xml:space="preserve"> có neo nguồn</w:t>
                  </w:r>
                  <w:r>
                    <w:rPr>
                      <w:rFonts w:ascii="Times New Roman" w:cs="Times New Roman" w:eastAsia="Times New Roman" w:hAnsi="Times New Roman"/>
                      <w:sz w:val="21"/>
                      <w:szCs w:val="21"/>
                    </w:rPr>
                    <w:t xml:space="preserve">, Python dùng </w:t>
                  </w:r>
                  <w:r>
                    <w:rPr>
                      <w:rFonts w:ascii="Times New Roman" w:cs="Times New Roman" w:eastAsia="Times New Roman" w:hAnsi="Times New Roman"/>
                      <w:color w:val="FF0000"/>
                      <w:sz w:val="21"/>
                      <w:szCs w:val="21"/>
                    </w:rPr>
                    <w:t xml:space="preserve">bộ quyết định có đối chiếu điều kiện</w:t>
                  </w:r>
                  <w:r>
                    <w:rPr>
                      <w:rFonts w:ascii="Times New Roman" w:cs="Times New Roman" w:eastAsia="Times New Roman" w:hAnsi="Times New Roman"/>
                      <w:sz w:val="21"/>
                      <w:szCs w:val="21"/>
                    </w:rPr>
                    <w:t xml:space="preserve"> để gán nhãn</w:t>
                  </w:r>
                  <w:r>
                    <w:rPr>
                      <w:rFonts w:ascii="Times New Roman" w:cs="Times New Roman" w:eastAsia="Times New Roman" w:hAnsi="Times New Roman"/>
                      <w:color w:val="FF0000"/>
                      <w:sz w:val="21"/>
                      <w:szCs w:val="21"/>
                    </w:rPr>
                    <w:t xml:space="preserve"> bốn lớp</w:t>
                  </w:r>
                </w:p>
              </w:tc>
              <w:tc>
                <w:tcPr>
                  <w:tcW w:w="3200" w:type="dxa"/>
                </w:tcPr>
                <w:p>
                  <w:pPr>
                    <w:spacing w:before="20" w:after="20" w:line="252" w:lineRule="auto"/>
                    <w:jc w:val="left"/>
                  </w:pPr>
                  <w:r>
                    <w:rPr>
                      <w:rFonts w:ascii="Times New Roman" w:cs="Times New Roman" w:eastAsia="Times New Roman" w:hAnsi="Times New Roman"/>
                      <w:color w:val="FF0000"/>
                      <w:sz w:val="21"/>
                      <w:szCs w:val="21"/>
                    </w:rPr>
                    <w:t xml:space="preserve">Phương pháp đề xuất</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color w:val="FF0000"/>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color w:val="FF0000"/>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color w:val="FF0000"/>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color w:val="FF0000"/>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color w:val="FF0000"/>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color w:val="FF0000"/>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color w:val="FF0000"/>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color w:val="FF0000"/>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w:t>
            </w:r>
            <w:r>
              <w:rPr>
                <w:rFonts w:ascii="Times New Roman" w:cs="Times New Roman" w:eastAsia="Times New Roman" w:hAnsi="Times New Roman"/>
                <w:color w:val="FF0000"/>
                <w:sz w:val="26"/>
                <w:szCs w:val="26"/>
              </w:rPr>
              <w:t xml:space="preserve">chạy trên bộ dữ liệu thử ban đầu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chỉnh đề tài theo nhận xét của Khoa (tổng quan, đóng góp, phạm vi sản phẩm) và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Khảo sát bổ sung các nghiên cứu về ảo giác của LLM, tuyên bố nửa sự thật, kiểm chứng kết hợp ký hiệu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 khoảng 60 </w:t>
            </w:r>
            <w:r>
              <w:rPr>
                <w:rFonts w:ascii="Times New Roman" w:cs="Times New Roman" w:eastAsia="Times New Roman" w:hAnsi="Times New Roman"/>
                <w:color w:val="FF0000"/>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color w:val="FF0000"/>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w:t>
            </w:r>
            <w:r>
              <w:rPr>
                <w:rFonts w:ascii="Times New Roman" w:cs="Times New Roman" w:eastAsia="Times New Roman" w:hAnsi="Times New Roman"/>
                <w:color w:val="FF0000"/>
                <w:sz w:val="26"/>
                <w:szCs w:val="26"/>
              </w:rPr>
              <w:t xml:space="preserve">bộ dữ liệu thử ban đầu</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color w:val="FF0000"/>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color w:val="FF0000"/>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color w:val="FF0000"/>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color w:val="FF0000"/>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Xây dựng bộ quyết định bốn nhãn (quy tắc A–D)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color w:val="FF0000"/>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color w:val="FF0000"/>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color w:val="FF0000"/>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color w:val="FF0000"/>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color w:val="FF0000"/>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color w:val="FF0000"/>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color w:val="FF0000"/>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color w:val="FF0000"/>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color w:val="FF0000"/>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color w:val="FF0000"/>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Nếu đúng tiến độ: chạy B4 và thử khả năng mở rộng trên máy tính bảng.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 </w:t>
            </w:r>
            <w:r>
              <w:rPr>
                <w:rFonts w:ascii="Times New Roman" w:cs="Times New Roman" w:eastAsia="Times New Roman" w:hAnsi="Times New Roman"/>
                <w:color w:val="FF0000"/>
                <w:sz w:val="26"/>
                <w:szCs w:val="26"/>
              </w:rPr>
              <w:t xml:space="preserve">L. Jiang, K. Jiang, X. Chu, S. Gulati, and P. Garg, “Hallucination detection in LLM-enriched product listings,” in </w:t>
            </w:r>
            <w:r>
              <w:rPr>
                <w:rFonts w:ascii="Times New Roman" w:cs="Times New Roman" w:eastAsia="Times New Roman" w:hAnsi="Times New Roman"/>
                <w:i/>
                <w:iCs/>
                <w:color w:val="FF0000"/>
                <w:sz w:val="26"/>
                <w:szCs w:val="26"/>
              </w:rPr>
              <w:t xml:space="preserve">Proceedings of the Seventh Workshop on e-Commerce and NLP (ECNLP) @ LREC-COLING 2024</w:t>
            </w:r>
            <w:r>
              <w:rPr>
                <w:rFonts w:ascii="Times New Roman" w:cs="Times New Roman" w:eastAsia="Times New Roman" w:hAnsi="Times New Roman"/>
                <w:color w:val="FF0000"/>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 </w:t>
            </w:r>
            <w:r>
              <w:rPr>
                <w:rFonts w:ascii="Times New Roman" w:cs="Times New Roman" w:eastAsia="Times New Roman" w:hAnsi="Times New Roman"/>
                <w:color w:val="FF0000"/>
                <w:sz w:val="26"/>
                <w:szCs w:val="26"/>
              </w:rPr>
              <w:t xml:space="preserve">Apple Việt Nam, “iPhone 17 – Thông số kỹ thuật.” [Online]. Available: https://www.apple.com/vn/iphone-17/specs/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[3] </w:t>
            </w:r>
            <w:r>
              <w:rPr>
                <w:rFonts w:ascii="Times New Roman" w:cs="Times New Roman" w:eastAsia="Times New Roman" w:hAnsi="Times New Roman"/>
                <w:color w:val="FF0000"/>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[4] </w:t>
            </w:r>
            <w:r>
              <w:rPr>
                <w:rFonts w:ascii="Times New Roman" w:cs="Times New Roman" w:eastAsia="Times New Roman" w:hAnsi="Times New Roman"/>
                <w:color w:val="FF0000"/>
                <w:sz w:val="26"/>
                <w:szCs w:val="26"/>
              </w:rPr>
              <w:t xml:space="preserve">Quốc hội nước Cộng hòa xã hội chủ nghĩa Việt Nam, </w:t>
            </w:r>
            <w:r>
              <w:rPr>
                <w:rFonts w:ascii="Times New Roman" w:cs="Times New Roman" w:eastAsia="Times New Roman" w:hAnsi="Times New Roman"/>
                <w:i/>
                <w:iCs/>
                <w:color w:val="FF0000"/>
                <w:sz w:val="26"/>
                <w:szCs w:val="26"/>
              </w:rPr>
              <w:t xml:space="preserve">Luật sửa đổi, bổ sung một số điều của Luật Quảng cáo</w:t>
            </w:r>
            <w:r>
              <w:rPr>
                <w:rFonts w:ascii="Times New Roman" w:cs="Times New Roman" w:eastAsia="Times New Roman" w:hAnsi="Times New Roman"/>
                <w:color w:val="FF0000"/>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[5] </w:t>
            </w:r>
            <w:r>
              <w:rPr>
                <w:rFonts w:ascii="Times New Roman" w:cs="Times New Roman" w:eastAsia="Times New Roman" w:hAnsi="Times New Roman"/>
                <w:color w:val="FF0000"/>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color w:val="FF0000"/>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2018, pp. 809–819. https://doi.org/10.18653/v1/N18-1074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[6] </w:t>
            </w:r>
            <w:r>
              <w:rPr>
                <w:rFonts w:ascii="Times New Roman" w:cs="Times New Roman" w:eastAsia="Times New Roman" w:hAnsi="Times New Roman"/>
                <w:color w:val="FF0000"/>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color w:val="FF0000"/>
                <w:sz w:val="26"/>
                <w:szCs w:val="26"/>
              </w:rPr>
              <w:t xml:space="preserve">Advances in Neural Information Processing Systems 36 (Datasets and Benchmarks Track)</w:t>
            </w:r>
            <w:r>
              <w:rPr>
                <w:rFonts w:ascii="Times New Roman" w:cs="Times New Roman" w:eastAsia="Times New Roman" w:hAnsi="Times New Roman"/>
                <w:color w:val="FF0000"/>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[7] </w:t>
            </w:r>
            <w:r>
              <w:rPr>
                <w:rFonts w:ascii="Times New Roman" w:cs="Times New Roman" w:eastAsia="Times New Roman" w:hAnsi="Times New Roman"/>
                <w:color w:val="FF0000"/>
                <w:sz w:val="26"/>
                <w:szCs w:val="26"/>
              </w:rPr>
              <w:t xml:space="preserve">Y. Tang, J. Wang, and A. K. H. Tung, “The missing parts: Augmenting fact verification with half truth detection,” in </w:t>
            </w:r>
            <w:r>
              <w:rPr>
                <w:rFonts w:ascii="Times New Roman" w:cs="Times New Roman" w:eastAsia="Times New Roman" w:hAnsi="Times New Roman"/>
                <w:i/>
                <w:iCs/>
                <w:color w:val="FF0000"/>
                <w:sz w:val="26"/>
                <w:szCs w:val="26"/>
              </w:rPr>
              <w:t xml:space="preserve">Proceedings of the 2025 Conference on Empirical Methods in Natural Language Processing (EMNLP)</w:t>
            </w:r>
            <w:r>
              <w:rPr>
                <w:rFonts w:ascii="Times New Roman" w:cs="Times New Roman" w:eastAsia="Times New Roman" w:hAnsi="Times New Roman"/>
                <w:color w:val="FF0000"/>
                <w:sz w:val="26"/>
                <w:szCs w:val="26"/>
              </w:rPr>
              <w:t xml:space="preserve">, 2025, pp. 33979–33996. https://doi.org/10.18653/v1/2025.emnlp-main.1724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[8] </w:t>
            </w:r>
            <w:r>
              <w:rPr>
                <w:rFonts w:ascii="Times New Roman" w:cs="Times New Roman" w:eastAsia="Times New Roman" w:hAnsi="Times New Roman"/>
                <w:color w:val="FF0000"/>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color w:val="FF0000"/>
                <w:sz w:val="26"/>
                <w:szCs w:val="26"/>
              </w:rPr>
              <w:t xml:space="preserve">Proceedings of the AAAI Conference on Artificial Intelligence</w:t>
            </w:r>
            <w:r>
              <w:rPr>
                <w:rFonts w:ascii="Times New Roman" w:cs="Times New Roman" w:eastAsia="Times New Roman" w:hAnsi="Times New Roman"/>
                <w:color w:val="FF0000"/>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[9] </w:t>
            </w:r>
            <w:r>
              <w:rPr>
                <w:rFonts w:ascii="Times New Roman" w:cs="Times New Roman" w:eastAsia="Times New Roman" w:hAnsi="Times New Roman"/>
                <w:color w:val="FF0000"/>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color w:val="FF0000"/>
                <w:sz w:val="26"/>
                <w:szCs w:val="26"/>
              </w:rPr>
              <w:t xml:space="preserve">Proceedings of the 18th International Natural Language Generation Conference (INLG)</w:t>
            </w:r>
            <w:r>
              <w:rPr>
                <w:rFonts w:ascii="Times New Roman" w:cs="Times New Roman" w:eastAsia="Times New Roman" w:hAnsi="Times New Roman"/>
                <w:color w:val="FF0000"/>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[10] </w:t>
            </w:r>
            <w:r>
              <w:rPr>
                <w:rFonts w:ascii="Times New Roman" w:cs="Times New Roman" w:eastAsia="Times New Roman" w:hAnsi="Times New Roman"/>
                <w:color w:val="FF0000"/>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color w:val="FF0000"/>
                <w:sz w:val="26"/>
                <w:szCs w:val="26"/>
              </w:rPr>
              <w:t xml:space="preserve">Proceedings of the 64th Annual Meeting of the Association for Computational Linguistics (Volume 6: Industry Track)</w:t>
            </w:r>
            <w:r>
              <w:rPr>
                <w:rFonts w:ascii="Times New Roman" w:cs="Times New Roman" w:eastAsia="Times New Roman" w:hAnsi="Times New Roman"/>
                <w:color w:val="FF0000"/>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[11] </w:t>
            </w:r>
            <w:r>
              <w:rPr>
                <w:rFonts w:ascii="Times New Roman" w:cs="Times New Roman" w:eastAsia="Times New Roman" w:hAnsi="Times New Roman"/>
                <w:color w:val="FF0000"/>
                <w:sz w:val="26"/>
                <w:szCs w:val="26"/>
              </w:rPr>
              <w:t xml:space="preserve">P. R. Aarnes and V. Setty, “NumPert: Numerical perturbations to probe language models for veracity prediction,” in </w:t>
            </w:r>
            <w:r>
              <w:rPr>
                <w:rFonts w:ascii="Times New Roman" w:cs="Times New Roman" w:eastAsia="Times New Roman" w:hAnsi="Times New Roman"/>
                <w:i/>
                <w:iCs/>
                <w:color w:val="FF0000"/>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color w:val="FF0000"/>
                <w:sz w:val="26"/>
                <w:szCs w:val="26"/>
              </w:rPr>
              <w:t xml:space="preserve">, 2025, pp. 78–95. https://doi.org/10.18653/v1/2025.ijcnlp-srw.8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[12] </w:t>
            </w:r>
            <w:r>
              <w:rPr>
                <w:rFonts w:ascii="Times New Roman" w:cs="Times New Roman" w:eastAsia="Times New Roman" w:hAnsi="Times New Roman"/>
                <w:color w:val="FF0000"/>
                <w:sz w:val="26"/>
                <w:szCs w:val="26"/>
              </w:rPr>
              <w:t xml:space="preserve">B. Hall, S. Shome, and W. Eiers, “VeriFin: A neurosymbolic framework for verifying LLM-generated financial claims,” arXiv preprint arXiv:2608.10213, 2026. [Online]. Available: https://arxiv.org/abs/2608.10213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[13]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[14] </w:t>
            </w:r>
            <w:r>
              <w:rPr>
                <w:rFonts w:ascii="Times New Roman" w:cs="Times New Roman" w:eastAsia="Times New Roman" w:hAnsi="Times New Roman"/>
                <w:color w:val="FF0000"/>
                <w:sz w:val="26"/>
                <w:szCs w:val="26"/>
              </w:rPr>
              <w:t xml:space="preserve">L. Tang, P. Laban, and G. Durrett, “MiniCheck: Efficient fact-checking of LLMs on grounding documents,” in </w:t>
            </w:r>
            <w:r>
              <w:rPr>
                <w:rFonts w:ascii="Times New Roman" w:cs="Times New Roman" w:eastAsia="Times New Roman" w:hAnsi="Times New Roman"/>
                <w:i/>
                <w:iCs/>
                <w:color w:val="FF0000"/>
                <w:sz w:val="26"/>
                <w:szCs w:val="26"/>
              </w:rPr>
              <w:t xml:space="preserve">Proceedings of the 2024 Conference on Empirical Methods in Natural Language Processing (EMNLP)</w:t>
            </w:r>
            <w:r>
              <w:rPr>
                <w:rFonts w:ascii="Times New Roman" w:cs="Times New Roman" w:eastAsia="Times New Roman" w:hAnsi="Times New Roman"/>
                <w:color w:val="FF0000"/>
                <w:sz w:val="26"/>
                <w:szCs w:val="26"/>
              </w:rPr>
              <w:t xml:space="preserve">, 2024, pp. 8818–8847. https://doi.org/10.18653/v1/2024.emnlp-main.499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[15]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[16]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[17] </w:t>
            </w:r>
            <w:r>
              <w:rPr>
                <w:rFonts w:ascii="Times New Roman" w:cs="Times New Roman" w:eastAsia="Times New Roman" w:hAnsi="Times New Roman"/>
                <w:color w:val="FF0000"/>
                <w:sz w:val="26"/>
                <w:szCs w:val="26"/>
              </w:rPr>
              <w:t xml:space="preserve">Samsung Việt Nam, “Galaxy Buds3 Pro – Thông số kỹ thuật.” [Online]. Available: https://www.samsung.com/vn/audio-sound/galaxy-buds/galaxy-buds3-pro-silver-sm-r630nzaaxxv/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[18] </w:t>
            </w:r>
            <w:r>
              <w:rPr>
                <w:rFonts w:ascii="Times New Roman" w:cs="Times New Roman" w:eastAsia="Times New Roman" w:hAnsi="Times New Roman"/>
                <w:color w:val="FF0000"/>
                <w:sz w:val="26"/>
                <w:szCs w:val="26"/>
              </w:rPr>
              <w:t xml:space="preserve">S. Robertson and H. Zaragoza, “The probabilistic relevance framework: BM25 and beyond,” </w:t>
            </w:r>
            <w:r>
              <w:rPr>
                <w:rFonts w:ascii="Times New Roman" w:cs="Times New Roman" w:eastAsia="Times New Roman" w:hAnsi="Times New Roman"/>
                <w:i/>
                <w:iCs/>
                <w:color w:val="FF0000"/>
                <w:sz w:val="26"/>
                <w:szCs w:val="26"/>
              </w:rPr>
              <w:t xml:space="preserve">Foundations and Trends in Information Retrieval</w:t>
            </w:r>
            <w:r>
              <w:rPr>
                <w:rFonts w:ascii="Times New Roman" w:cs="Times New Roman" w:eastAsia="Times New Roman" w:hAnsi="Times New Roman"/>
                <w:color w:val="FF0000"/>
                <w:sz w:val="26"/>
                <w:szCs w:val="26"/>
              </w:rPr>
              <w:t xml:space="preserve">, vol. 3, no. 4, pp. 333–389, 2009. https://doi.org/10.1561/1500000019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[19] </w:t>
            </w:r>
            <w:r>
              <w:rPr>
                <w:rFonts w:ascii="Times New Roman" w:cs="Times New Roman" w:eastAsia="Times New Roman" w:hAnsi="Times New Roman"/>
                <w:color w:val="FF0000"/>
                <w:sz w:val="26"/>
                <w:szCs w:val="26"/>
              </w:rPr>
              <w:t xml:space="preserve">T. Schuster, A. Fisch, and R. Barzilay, “Get your vitamin C! Robust fact verification with contrastive evidence,” in </w:t>
            </w:r>
            <w:r>
              <w:rPr>
                <w:rFonts w:ascii="Times New Roman" w:cs="Times New Roman" w:eastAsia="Times New Roman" w:hAnsi="Times New Roman"/>
                <w:i/>
                <w:iCs/>
                <w:color w:val="FF0000"/>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2021, pp. 624–643. https://doi.org/10.18653/v1/2021.naacl-main.52</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[20] </w:t>
            </w:r>
            <w:r>
              <w:rPr>
                <w:rFonts w:ascii="Times New Roman" w:cs="Times New Roman" w:eastAsia="Times New Roman" w:hAnsi="Times New Roman"/>
                <w:color w:val="FF0000"/>
                <w:sz w:val="26"/>
                <w:szCs w:val="26"/>
              </w:rPr>
              <w:t xml:space="preserve">Apple Việt Nam, “Pin Apple Watch.” [Online]. Available: https://www.apple.com/vn/watch/battery/ (truy cập ngày 10/10/2026).</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color w:val="FF0000"/>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color w:val="FF0000"/>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