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
        <w:tblW w:w="9638.0" w:type="dxa"/>
        <w:jc w:val="left"/>
        <w:tblLayout w:type="fixed"/>
        <w:tblLook w:val="0400"/>
      </w:tblPr>
      <w:tblGrid>
        <w:gridCol w:w="4819"/>
        <w:gridCol w:w="4819"/>
        <w:tblGridChange w:id="0">
          <w:tblGrid>
            <w:gridCol w:w="4819"/>
            <w:gridCol w:w="4819"/>
          </w:tblGrid>
        </w:tblGridChange>
      </w:tblGrid>
      <w:tr>
        <w:trPr>
          <w:cantSplit w:val="0"/>
          <w:tblHeader w:val="0"/>
        </w:trPr>
        <w:tc>
          <w:tcPr>
            <w:tcMar>
              <w:top w:w="55.0" w:type="dxa"/>
              <w:left w:w="90.0" w:type="dxa"/>
              <w:bottom w:w="55.0" w:type="dxa"/>
              <w:right w:w="90.0" w:type="dxa"/>
            </w:tcMar>
          </w:tcPr>
          <w:p w:rsidR="00000000" w:rsidDel="00000000" w:rsidP="00000000" w:rsidRDefault="00000000" w:rsidRPr="00000000" w14:paraId="00000002">
            <w:pPr>
              <w:spacing w:after="4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3"/>
                <w:szCs w:val="23"/>
                <w:rtl w:val="0"/>
              </w:rPr>
              <w:t xml:space="preserve">ĐẠI HỌC QUỐC GIA TP. HỒ CHÍ MINH</w:t>
            </w:r>
            <w:r w:rsidDel="00000000" w:rsidR="00000000" w:rsidRPr="00000000">
              <w:rPr>
                <w:rtl w:val="0"/>
              </w:rPr>
            </w:r>
          </w:p>
          <w:p w:rsidR="00000000" w:rsidDel="00000000" w:rsidP="00000000" w:rsidRDefault="00000000" w:rsidRPr="00000000" w14:paraId="00000003">
            <w:pPr>
              <w:spacing w:after="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3"/>
                <w:szCs w:val="23"/>
                <w:rtl w:val="0"/>
              </w:rPr>
              <w:t xml:space="preserve">TRƯỜNG ĐẠI HỌC</w:t>
            </w:r>
            <w:r w:rsidDel="00000000" w:rsidR="00000000" w:rsidRPr="00000000">
              <w:rPr>
                <w:rtl w:val="0"/>
              </w:rPr>
            </w:r>
          </w:p>
          <w:p w:rsidR="00000000" w:rsidDel="00000000" w:rsidP="00000000" w:rsidRDefault="00000000" w:rsidRPr="00000000" w14:paraId="00000004">
            <w:pPr>
              <w:spacing w:after="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3"/>
                <w:szCs w:val="23"/>
                <w:rtl w:val="0"/>
              </w:rPr>
              <w:t xml:space="preserve">CÔNG NGHỆ THÔNG TIN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05">
            <w:pPr>
              <w:spacing w:after="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1"/>
                <w:szCs w:val="21"/>
                <w:rtl w:val="0"/>
              </w:rPr>
              <w:t xml:space="preserve">CỘNG HÒA XÃ HỘI CHỦ NGHĨA VIỆT NAM</w:t>
            </w:r>
            <w:r w:rsidDel="00000000" w:rsidR="00000000" w:rsidRPr="00000000">
              <w:rPr>
                <w:rtl w:val="0"/>
              </w:rPr>
            </w:r>
          </w:p>
          <w:p w:rsidR="00000000" w:rsidDel="00000000" w:rsidP="00000000" w:rsidRDefault="00000000" w:rsidRPr="00000000" w14:paraId="00000006">
            <w:pPr>
              <w:spacing w:after="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3"/>
                <w:szCs w:val="23"/>
                <w:rtl w:val="0"/>
              </w:rPr>
              <w:t xml:space="preserve">Độc Lập - Tự Do - Hạnh Phúc</w:t>
            </w:r>
            <w:r w:rsidDel="00000000" w:rsidR="00000000" w:rsidRPr="00000000">
              <w:rPr>
                <w:rtl w:val="0"/>
              </w:rPr>
            </w:r>
          </w:p>
        </w:tc>
      </w:tr>
    </w:tbl>
    <w:p w:rsidR="00000000" w:rsidDel="00000000" w:rsidP="00000000" w:rsidRDefault="00000000" w:rsidRPr="00000000" w14:paraId="00000007">
      <w:pPr>
        <w:tabs>
          <w:tab w:val="center" w:leader="none" w:pos="1985"/>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Title"/>
        <w:keepLines w:val="0"/>
        <w:spacing w:after="100" w:before="16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32"/>
          <w:szCs w:val="32"/>
          <w:rtl w:val="0"/>
        </w:rPr>
        <w:t xml:space="preserve">KẾ HOẠCH THỰC HIỆN KHÓA LUẬN (TỔNG HỢP)</w:t>
      </w:r>
      <w:r w:rsidDel="00000000" w:rsidR="00000000" w:rsidRPr="00000000">
        <w:rPr>
          <w:rtl w:val="0"/>
        </w:rPr>
      </w:r>
    </w:p>
    <w:p w:rsidR="00000000" w:rsidDel="00000000" w:rsidP="00000000" w:rsidRDefault="00000000" w:rsidRPr="00000000" w14:paraId="00000009">
      <w:pPr>
        <w:spacing w:after="140" w:line="240" w:lineRule="auto"/>
        <w:jc w:val="both"/>
        <w:rPr>
          <w:rFonts w:ascii="Times New Roman" w:cs="Times New Roman" w:eastAsia="Times New Roman" w:hAnsi="Times New Roman"/>
          <w:sz w:val="24"/>
          <w:szCs w:val="24"/>
        </w:rPr>
      </w:pPr>
      <w:r>
        <w:rPr>
          <w:rFonts w:ascii="Times New Roman" w:cs="Times New Roman" w:eastAsia="Times New Roman" w:hAnsi="Times New Roman"/>
          <w:i w:val="1"/>
          <w:iCs w:val="1"/>
          <w:sz w:val="21"/>
          <w:szCs w:val="21"/>
          <w:rtl w:val="0"/>
        </w:rPr>
        <w:t xml:space="preserve">Bản kế hoạch tổng hợp — DỰ THẢO đề xuất có AI hỗ trợ soạn, chưa được GVHD xác nhận (10/2026). Thay cho đề cương điều chỉnh 08/10/2026; thông tin đề tài, CBHD, sinh viên và thời gian giữ từ bản đăng ký 15/09/2026. Các điểm cần GVHD xác nhận: (1) trọng tâm đóng góp và RQ1–RQ3; (2) luật inherit_headline cho claim không nêu điều kiện thử; (3) quy mô theo sàn test, chốt sau pilot (09/11); (4) có ít nhất một hãng ngoài Apple; (5) lịch G0–G9 và ngân sách API. Cách làm từng bước, luật gán nhãn, đặc tả A–B–C, mẫu file và ví dụ đầy đủ nằm trong sổ tay KE_HOACH_CHI_TIET_SINH_VIEN.md đi kèm.</w:t>
      </w:r>
    </w:p>
    <w:tbl>
      <w:tblPr>
        <w:tblStyle w:val="Table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gridSpan w:val="2"/>
            <w:tcMar>
              <w:top w:w="55.0" w:type="dxa"/>
              <w:left w:w="90.0" w:type="dxa"/>
              <w:bottom w:w="55.0" w:type="dxa"/>
              <w:right w:w="90.0" w:type="dxa"/>
            </w:tcMar>
          </w:tcPr>
          <w:p w:rsidR="00000000" w:rsidDel="00000000" w:rsidP="00000000" w:rsidRDefault="00000000" w:rsidRPr="00000000" w14:paraId="0000000A">
            <w:pPr>
              <w:spacing w:after="80" w:line="278.00000000000006" w:lineRule="auto"/>
              <w:ind w:right="10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w:t>
            </w:r>
          </w:p>
          <w:p w:rsidR="00000000" w:rsidDel="00000000" w:rsidP="00000000" w:rsidRDefault="00000000" w:rsidRPr="00000000" w14:paraId="0000000B">
            <w:pPr>
              <w:numPr>
                <w:ilvl w:val="0"/>
                <w:numId w:val="4"/>
              </w:numPr>
              <w:spacing w:after="80" w:line="278.00000000000006" w:lineRule="auto"/>
              <w:ind w:left="397" w:right="102" w:hanging="19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Tiếng Việt: Phương pháp kiểm chứng</w:t>
            </w:r>
            <w:r w:rsidDel="00000000" w:rsidR="00000000" w:rsidRPr="00000000">
              <w:rPr>
                <w:rFonts w:ascii="Times New Roman" w:cs="Times New Roman" w:eastAsia="Times New Roman" w:hAnsi="Times New Roman"/>
                <w:color w:val="c00000"/>
                <w:sz w:val="26"/>
                <w:szCs w:val="26"/>
                <w:rtl w:val="0"/>
              </w:rPr>
              <w:t xml:space="preserve"> phát biểu</w:t>
            </w:r>
            <w:r w:rsidDel="00000000" w:rsidR="00000000" w:rsidRPr="00000000">
              <w:rPr>
                <w:rFonts w:ascii="Times New Roman" w:cs="Times New Roman" w:eastAsia="Times New Roman" w:hAnsi="Times New Roman"/>
                <w:b w:val="1"/>
                <w:bCs w:val="1"/>
                <w:sz w:val="26"/>
                <w:szCs w:val="26"/>
                <w:rtl w:val="0"/>
              </w:rPr>
              <w:t xml:space="preserve"> quảng cáo dựa trên bằng chứng văn bản cho tai nghe không dây</w:t>
            </w:r>
          </w:p>
          <w:p w:rsidR="00000000" w:rsidDel="00000000" w:rsidP="00000000" w:rsidRDefault="00000000" w:rsidRPr="00000000" w14:paraId="0000000C">
            <w:pPr>
              <w:numPr>
                <w:ilvl w:val="0"/>
                <w:numId w:val="4"/>
              </w:numPr>
              <w:spacing w:after="80" w:line="278.00000000000006" w:lineRule="auto"/>
              <w:ind w:left="397" w:right="102" w:hanging="19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Tiếng Anh: Text-evidence-based method for verifying advertising claims about wireless headphones</w:t>
            </w:r>
          </w:p>
        </w:tc>
      </w:tr>
      <w:tr>
        <w:trPr>
          <w:cantSplit w:val="0"/>
          <w:tblHeader w:val="0"/>
        </w:trPr>
        <w:tc>
          <w:tcPr>
            <w:gridSpan w:val="2"/>
            <w:tcMar>
              <w:top w:w="55.0" w:type="dxa"/>
              <w:left w:w="90.0" w:type="dxa"/>
              <w:bottom w:w="55.0" w:type="dxa"/>
              <w:right w:w="90.0" w:type="dxa"/>
            </w:tcMar>
          </w:tcPr>
          <w:p w:rsidR="00000000" w:rsidDel="00000000" w:rsidP="00000000" w:rsidRDefault="00000000" w:rsidRPr="00000000" w14:paraId="0000000E">
            <w:pPr>
              <w:spacing w:after="80" w:line="278.00000000000006" w:lineRule="auto"/>
              <w:ind w:right="10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Cán bộ hướng dẫn: ThS Trần Hồng Nghi</w:t>
            </w:r>
          </w:p>
        </w:tc>
      </w:tr>
      <w:tr>
        <w:trPr>
          <w:cantSplit w:val="0"/>
          <w:tblHeader w:val="0"/>
        </w:trPr>
        <w:tc>
          <w:tcPr>
            <w:gridSpan w:val="2"/>
            <w:tcMar>
              <w:top w:w="55.0" w:type="dxa"/>
              <w:left w:w="90.0" w:type="dxa"/>
              <w:bottom w:w="55.0" w:type="dxa"/>
              <w:right w:w="90.0" w:type="dxa"/>
            </w:tcMar>
          </w:tcPr>
          <w:p w:rsidR="00000000" w:rsidDel="00000000" w:rsidP="00000000" w:rsidRDefault="00000000" w:rsidRPr="00000000" w14:paraId="00000010">
            <w:pPr>
              <w:spacing w:after="80" w:line="278.00000000000006" w:lineRule="auto"/>
              <w:ind w:right="10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hiện: </w:t>
            </w:r>
            <w:r w:rsidDel="00000000" w:rsidR="00000000" w:rsidRPr="00000000">
              <w:rPr>
                <w:rFonts w:ascii="Times New Roman" w:cs="Times New Roman" w:eastAsia="Times New Roman" w:hAnsi="Times New Roman"/>
                <w:sz w:val="26"/>
                <w:szCs w:val="26"/>
                <w:rtl w:val="0"/>
              </w:rPr>
              <w:t xml:space="preserve">Từ ngày 15/09/2026 đến ngày 31/12/2026</w:t>
            </w:r>
          </w:p>
        </w:tc>
      </w:tr>
      <w:tr>
        <w:trPr>
          <w:cantSplit w:val="0"/>
          <w:tblHeader w:val="0"/>
        </w:trPr>
        <w:tc>
          <w:tcPr>
            <w:gridSpan w:val="2"/>
            <w:tcMar>
              <w:top w:w="55.0" w:type="dxa"/>
              <w:left w:w="90.0" w:type="dxa"/>
              <w:bottom w:w="55.0" w:type="dxa"/>
              <w:right w:w="90.0" w:type="dxa"/>
            </w:tcMar>
          </w:tcPr>
          <w:p w:rsidR="00000000" w:rsidDel="00000000" w:rsidP="00000000" w:rsidRDefault="00000000" w:rsidRPr="00000000" w14:paraId="00000012">
            <w:pPr>
              <w:spacing w:after="80" w:line="278.00000000000006" w:lineRule="auto"/>
              <w:ind w:right="10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p w:rsidR="00000000" w:rsidDel="00000000" w:rsidP="00000000" w:rsidRDefault="00000000" w:rsidRPr="00000000" w14:paraId="00000013">
            <w:pPr>
              <w:spacing w:after="80" w:line="278.00000000000006" w:lineRule="auto"/>
              <w:ind w:right="10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Bùi Lê Huy Phước – 23521228 - 0373025859</w:t>
            </w:r>
            <w:r w:rsidDel="00000000" w:rsidR="00000000" w:rsidRPr="00000000">
              <w:rPr>
                <w:rtl w:val="0"/>
              </w:rPr>
            </w:r>
          </w:p>
        </w:tc>
      </w:tr>
      <w:tr>
        <w:trPr>
          <w:cantSplit w:val="0"/>
          <w:tblHeader w:val="0"/>
        </w:trPr>
        <w:tc>
          <w:tcPr>
            <w:gridSpan w:val="2"/>
            <w:tcBorders>
              <w:top w:color="000000" w:space="0" w:sz="4" w:val="single"/>
              <w:bottom w:color="000000" w:space="0" w:sz="0" w:val="nil"/>
            </w:tcBorders>
            <w:tcMar>
              <w:top w:w="55.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Nội dung đề tài:</w:t>
            </w:r>
            <w:r>
              <w:rPr>
                <w:rFonts w:ascii="Times New Roman" w:cs="Times New Roman" w:eastAsia="Times New Roman" w:hAnsi="Times New Roman"/>
                <w:sz w:val="26"/>
                <w:szCs w:val="26"/>
                <w:rtl w:val="0"/>
              </w:rPr>
              <w:t xml:space="preserve"> Nghiên cứu cách kiểm chứng từng phát biểu thông số (claim) trong quảng cáo tiếng Việt về tai nghe không dây do mô hình ngôn ngữ lớn (LLM) tạo ra, dùng tài liệu văn bản chính thức của hãng cho đúng sản phẩm làm bằng chứng. Mỗi claim đã tách được gán Supported, Refuted hoặc NEI (chưa đủ thông tin, phân biệt NEI-missing — thiếu bằng chứng và NEI-conflict — nguồn cùng phạm vi mâu thuẫn), kèm mã đoạn nguồn và lý do ngắn; lỗi kỹ thuật ghi riêng là ERROR. Người dùng dự kiến là người duyệt nội dung quảng cáo: claim Refuted/NEI được gắn cờ để sửa hoặc tìm thêm nguồn trước khi đăng; hệ thống không tự duyệt đăng.</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Lỗi nghiên cứu trọng tâm:</w:t>
            </w:r>
            <w:r>
              <w:rPr>
                <w:rFonts w:ascii="Times New Roman" w:cs="Times New Roman" w:eastAsia="Times New Roman" w:hAnsi="Times New Roman"/>
                <w:sz w:val="26"/>
                <w:szCs w:val="26"/>
                <w:rtl w:val="0"/>
              </w:rPr>
              <w:t xml:space="preserve"> chấp nhận nhầm do lệch phạm vi thông số — con số trong quảng cáo trùng con số trong nguồn nhưng khác chế độ (chống ồn bật/tắt), khác bộ phận (tai nghe/hộp sạc), khác vai trò con số (mức tối đa công bố/giá trị quan sát) hoặc khác sản phẩm cùng hãng. Ví dụ thật: trang AirPods Max 2 (Apple VN, snapshot 08/10/2026) chỉ công bố “lên đến 20 giờ … khi bật Chủ Động Khử Tiếng Ồn”; claim “20 giờ khi tắt chống ồn” có cùng số nhưng không được nguồn hỗ trợ. Giả thuyết rằng LLM dễ mắc lỗi này trong miền đề tài </w:t>
            </w:r>
            <w:r>
              <w:rPr>
                <w:rFonts w:ascii="Times New Roman" w:cs="Times New Roman" w:eastAsia="Times New Roman" w:hAnsi="Times New Roman"/>
                <w:b w:val="1"/>
                <w:bCs w:val="1"/>
                <w:sz w:val="26"/>
                <w:szCs w:val="26"/>
                <w:rtl w:val="0"/>
              </w:rPr>
              <w:t xml:space="preserve">chưa được đo</w:t>
            </w:r>
            <w:r>
              <w:rPr>
                <w:rFonts w:ascii="Times New Roman" w:cs="Times New Roman" w:eastAsia="Times New Roman" w:hAnsi="Times New Roman"/>
                <w:sz w:val="26"/>
                <w:szCs w:val="26"/>
                <w:rtl w:val="0"/>
              </w:rPr>
              <w:t xml:space="preserve">.</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Mục tiêu (cốt lõi — phải đạt):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M1. Kho nguồn chính thức có snapshot, ngày truy cập và SHA-256 cho tối thiểu 6 họ sản phẩm (mục tiêu 10–12, có ít nhất một hãng ngoài Apple); tập claim tiếng Việt có provenance, chia theo họ thành dev/val/test, gồm tập quảng cáo LLM thông thường và tập chẩn đoán cặp tối thiểu, báo riêng.</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M2. Hướng dẫn gán nhãn dùng chung v2 có phiên bản và mã băm, dùng như nhau cho người gán, B0, B1 và P; có nhật ký tìm nguồn cho mọi ca NEI.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M3. Truy hồi BM25 lọc theo sản phẩm, đo evidence-set recall@k kèm N và k_eff = min(k, 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M4. Hồ sơ trích xuất JSON biểu diễn tường minh phạm vi thông số (sản phẩm, phiên bản, thị trường, bộ phận, thuộc tính, điều kiện, value_kind, value_role) và bộ quyết định tất định A–B–C (P) có kiểm thử đơn vị.</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M5. So sánh P với B1 trên cùng hồ sơ trích xuất (và B0 làm tham khảo), ablation bốn thành phần, đánh giá trên hồ sơ chuẩn; phân tích lỗi; gói tái lập chạy lại được.</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Phạm vi:</w:t>
            </w:r>
            <w:r>
              <w:rPr>
                <w:rFonts w:ascii="Times New Roman" w:cs="Times New Roman" w:eastAsia="Times New Roman" w:hAnsi="Times New Roman"/>
                <w:sz w:val="26"/>
                <w:szCs w:val="26"/>
                <w:rtl w:val="0"/>
              </w:rPr>
              <w:t xml:space="preserve"> claim về thời lượng pin, thời gian sạc, phiên bản Bluetooth, chống nước/bụi, chống ồn và các thông số có số liệu trên trang chính thức của hãng. Đầu vào là claim đã tách thủ công và mã sản phẩm đang quảng cáo; hệ thống không tự tách claim và không tự nhận diện sản phẩm.</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Giới hạn kết luận:</w:t>
            </w:r>
            <w:r>
              <w:rPr>
                <w:rFonts w:ascii="Times New Roman" w:cs="Times New Roman" w:eastAsia="Times New Roman" w:hAnsi="Times New Roman"/>
                <w:sz w:val="26"/>
                <w:szCs w:val="26"/>
                <w:rtl w:val="0"/>
              </w:rPr>
              <w:t xml:space="preserve"> hệ thống kiểm </w:t>
            </w:r>
            <w:r>
              <w:rPr>
                <w:rFonts w:ascii="Times New Roman" w:cs="Times New Roman" w:eastAsia="Times New Roman" w:hAnsi="Times New Roman"/>
                <w:i w:val="1"/>
                <w:iCs w:val="1"/>
                <w:sz w:val="26"/>
                <w:szCs w:val="26"/>
                <w:rtl w:val="0"/>
              </w:rPr>
              <w:t xml:space="preserve">mức độ được tài liệu chính thức của hãng hỗ trợ</w:t>
            </w:r>
            <w:r>
              <w:rPr>
                <w:rFonts w:ascii="Times New Roman" w:cs="Times New Roman" w:eastAsia="Times New Roman" w:hAnsi="Times New Roman"/>
                <w:sz w:val="26"/>
                <w:szCs w:val="26"/>
                <w:rtl w:val="0"/>
              </w:rPr>
              <w:t xml:space="preserve">, không kiểm hiệu năng thực tế, không đưa kết luận pháp lý. NEI là “chưa tìm thấy trong kho nguồn đã khóa”, không có nghĩa “hãng không công bố”. Kết luận chỉ áp dụng cho claim đã tách thủ công, kho nguồn đã khóa và các họ đã chọn; không gọi hệ thống là end-to-end, không tuyên bố “đầu tiên”.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Đối tượng:</w:t>
            </w:r>
            <w:r>
              <w:rPr>
                <w:rFonts w:ascii="Times New Roman" w:cs="Times New Roman" w:eastAsia="Times New Roman" w:hAnsi="Times New Roman"/>
                <w:sz w:val="26"/>
                <w:szCs w:val="26"/>
                <w:rtl w:val="0"/>
              </w:rPr>
              <w:t xml:space="preserve"> bài toán kiểm chứng phát biểu thông số sản phẩm dựa trên bằng chứng văn bản; truy hồi bằng chứng; trích xuất thông tin có cấu trúc bằng LLM; quyết định bằng luật tất định so với quyết định bằng LLM.</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Phương pháp thực hiện:</w:t>
            </w:r>
          </w:p>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Cơ sở, câu hỏi nghiên cứu và đóng góp dự kiến</w:t>
            </w:r>
          </w:p>
          <w:p>
            <w:pPr>
              <w:numPr>
                <w:ilvl w:val="0"/>
                <w:numId w:val="5"/>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Khảo sát kiểm chứng bài đăng quảng cáo [1], kiểm chứng chi tiết theo claim [2], kiểm chứng claim số [3], giải thích nguồn bất định [4], xung đột bằng chứng [5], pipeline RAG module hóa [6], các bộ dữ liệu kiểm chứng [7]–[11], bằng chứng đối lập [12] và độ giòn của LLM với thay đổi số [13].</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RQ1 (truy hồi, hỗ trợ):</w:t>
            </w:r>
            <w:r>
              <w:rPr>
                <w:rFonts w:ascii="Times New Roman" w:cs="Times New Roman" w:eastAsia="Times New Roman" w:hAnsi="Times New Roman"/>
                <w:sz w:val="26"/>
                <w:szCs w:val="26"/>
                <w:rtl w:val="0"/>
              </w:rPr>
              <w:t xml:space="preserve"> với nguồn đã lọc theo sản phẩm, BM25 tìm trọn bộ bằng chứng chuẩn ở mức nào (evidence-set recall@k, kèm N và k_eff)? → TN1; mở rộng: tỷ lệ chọn nhầm sản phẩm khi không lọc → TN5.</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RQ2 (chính):</w:t>
            </w:r>
            <w:r>
              <w:rPr>
                <w:rFonts w:ascii="Times New Roman" w:cs="Times New Roman" w:eastAsia="Times New Roman" w:hAnsi="Times New Roman"/>
                <w:sz w:val="26"/>
                <w:szCs w:val="26"/>
                <w:rtl w:val="0"/>
              </w:rPr>
              <w:t xml:space="preserve"> trên cùng hồ sơ trích xuất, P có giảm tỷ lệ chấp nhận nhầm (FAR) so với B1 — đặc biệt trên claim lệch phạm vi — trong khi vẫn giữ Recall Supported không? → TN2, báo riêng tập thông thường và tập chẩn đoán.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RQ3 (cơ chế):</w:t>
            </w:r>
            <w:r>
              <w:rPr>
                <w:rFonts w:ascii="Times New Roman" w:cs="Times New Roman" w:eastAsia="Times New Roman" w:hAnsi="Times New Roman"/>
                <w:sz w:val="26"/>
                <w:szCs w:val="26"/>
                <w:rtl w:val="0"/>
              </w:rPr>
              <w:t xml:space="preserve"> thành phần nào của P tạo ra khác biệt (bộ phận, điều kiện, vai trò con số, kế thừa điều kiện), và khác biệt còn lại sau khi loại lỗi trích xuất là bao nhiêu? → TN3 (ablation) và TN4 (hồ sơ chuẩn).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Đóng góp trọng tâm (C*):</w:t>
            </w:r>
            <w:r>
              <w:rPr>
                <w:rFonts w:ascii="Times New Roman" w:cs="Times New Roman" w:eastAsia="Times New Roman" w:hAnsi="Times New Roman"/>
                <w:sz w:val="26"/>
                <w:szCs w:val="26"/>
                <w:rtl w:val="0"/>
              </w:rPr>
              <w:t xml:space="preserve"> biểu diễn phạm vi thông số tường minh và bộ quyết định tất định A–B–C trên biểu diễn đó, được đánh giá có kiểm soát so với LLM quyết định trên cùng hồ sơ, bằng tập chẩn đoán cặp tối thiểu theo từng loại lệch phạm vi. Đóng góp hỗ trợ: kho nguồn và tập claim có provenance (không gọi là benchmark); hướng dẫn nhãn có chính sách điều kiện và vai trò con số, có kiểm thử.</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Điều kiện kết luận “có tác dụng trên mẫu”:</w:t>
            </w:r>
            <w:r>
              <w:rPr>
                <w:rFonts w:ascii="Times New Roman" w:cs="Times New Roman" w:eastAsia="Times New Roman" w:hAnsi="Times New Roman"/>
                <w:sz w:val="26"/>
                <w:szCs w:val="26"/>
                <w:rtl w:val="0"/>
              </w:rPr>
              <w:t xml:space="preserve"> trên tập chẩn đoán test, ΔFAR = FAR_P − FAR_B1 &lt; 0 ở lượt 1, cùng chiều ở các lượt lặp, cặp bất đồng nghiêng về P, ΔRecall_Supported ≥ −10 điểm phần trăm, và ablation tương ứng làm FAR của P tăng ở đúng loại thao tác. Thiếu một điều kiện → “chưa kết luận”. Kết quả âm vẫn hợp lệ: TN4 phân biệt lỗi do trích xuất, do luật, hoặc B1 đã đủ tốt.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Dữ liệu và nhãn chuẩn</w:t>
            </w:r>
          </w:p>
          <w:p>
            <w:pPr>
              <w:numPr>
                <w:ilvl w:val="0"/>
                <w:numId w:val="5"/>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tài liệu thông số chính thức của hãng (snapshot HTML/PDF, URL, ngày truy cập, SHA-256), chuẩn hóa và chia đoạn có mã chunk_id; sinh quảng cáo bằng mô hình G có lưu prompt, tham số và đầu ra thô; tách claim thủ công theo quy tắc ghi sẵn.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mô đề xuất, chốt bằng số đo pilot ngày 09/11 (DỰ THẢO): dev 3–4 họ, 40–60 claim thông thường + 20–30 claim chẩn đoán; val 2 họ, 15–25 + 10–15; test 5 họ (tối thiểu 4), 60–80 claim thông thường + 60–75 biến thể chẩn đoán (≥ 12 mỗi loại thao tác). Sàn test để dừng hợp lệ: R+NEI ≥ 40, S ≥ 20, ≥ 8 ca mỗi thao tác chính COND/PART/ROLE. Thay cho mốc 120/12 và 180/18 của bản cũ.</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Tập chẩn đoán gồm biến thể cặp tối thiểu của câu cha: đổi điều kiện, đổi bộ phận, đổi vai trò con số, đổi giá trị, đổi sản phẩm; hai tập luôn được báo riêng, không ép prompt sinh lỗi để cân bằng nhãn.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Nguyên tắc nhãn: đơn vị là claim đã tách; chỉ dùng tài liệu chính thức trong kho, không dùng kiến thức ngoài và không coi claim là bằng chứng; claim và nguồn phải khớp sản phẩm, phiên bản, thị trường (nếu có), bộ phận, thuộc tính, đơn vị và điều kiện; phân biệt tai nghe/hộp/cặp, một lần sạc/tổng kèm hộp, mức công bố/quan sát, phiên bản Bluetooth.</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Chính sách điều kiện inherit_headline (DỰ THẢO — cần GVHD xác nhận): điều kiện nguồn mà claim không nêu được kế thừa, trừ claim nghĩa đen/phổ quát (“luôn”, “mọi chế độ”); điều kiện claim đã nêu phải khớp nguồn. Xung đột chỉ xét trong cùng thuộc tính, phạm vi và bộ điều kiện.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Claim nhiều thuộc tính là phép hội: có thuộc tính bị bác bỏ → Refuted; không bị bác bỏ nhưng có xung đột → NEI-conflict; mọi thuộc tính được hỗ trợ → Supported; còn lại → NEI-missing. Không sửa claim để được hỗ trợ, không bịa mã nguồn.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Chia tập theo họ sản phẩm, không để một họ xuất hiện ở hai tập. Kiểm tin cậy nhãn: người gán thứ hai độc lập cho 40 claim phân tầng, tính Cohen’s κ trước hòa giải; nếu không có người thứ hai thì tự gán lại để đo tự nhất quán và ghi rõ đây không phải đồng thuận hai người.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Quy trình xử lý và bộ quyết định A–B–C</w:t>
            </w:r>
          </w:p>
          <w:p>
            <w:pPr>
              <w:numPr>
                <w:ilvl w:val="0"/>
                <w:numId w:val="5"/>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Claim + mã sản phẩm → BM25 lấy top-k đoạn của đúng sản phẩm → LLM (mô hình D) trích hồ sơ JSON cho claim và từng đoạn → chuẩn hóa đơn vị → bộ quyết định → nhãn, nei_type, mã bằng chứng, lý do và dấu vết (trace).</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BM25 dùng cùng cách chuẩn hóa chữ, dấu câu cho truy vấn và đoạn; chọn k trên dev, khóa trước test.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 — lọc phạm vi: giữ đoạn cùng sản phẩm, phiên bản, thị trường, bộ phận, thuộc tính và đại lượng/đơn vị quy đổi được.</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 — điều kiện: áp inherit_headline; điều kiện không khớp chỉ làm đoạn không dùng được, không tự suy ra bác bỏ.</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C1 — xung đột: nguồn cùng phạm vi và điều kiện cho giá trị mâu thuẫn chưa giải quyết → NEI-conflict. C2 — so sánh giá trị theo kiểu (=, &gt;, ≥, ≤, khoảng, mức tối đa) và vai trò con số, dung sai mặc định 0. C3 — tổng hợp nhãn theo phép hội ở trên.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safe_verdict tách lỗi kỹ thuật: JSON hỏng, hồ sơ thiếu hoặc lỗi gọi mô hình → ERROR, không đổi thành NEI. Hồ sơ chỉ chứa dữ kiện, không chứa nhãn chuẩn, lý do gán nhãn, log tìm nguồn hay kết quả kiểm luật.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chứng: B0 — LLM đọc claim và top-k văn bản rồi gán nhãn; B1 — LLM nhận cùng hồ sơ JSON với P rồi gán nhãn. B0/B1 nhận nguyên văn hướng dẫn nhãn; B1 và P dùng chung extraction_run_id và mã băm hồ sơ chuẩn hóa, nên P–B1 cô lập tác động của cách quyết định.</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Thiết kế thực nghiệm và tiêu chí đánh giá</w:t>
            </w:r>
          </w:p>
          <w:p>
            <w:pPr>
              <w:numPr>
                <w:ilvl w:val="0"/>
                <w:numId w:val="5"/>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Toàn bộ mô hình, prompt, k, hướng dẫn nhãn, tập chia và mã nguồn được khóa bằng mã băm trước khi chạy test; val chạy một lần sau khóa.</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TN1: BM25 lọc sản phẩm trên claim test có bộ bằng chứng chuẩn — evidence-set recall@k với k_eff = min(k, 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TN2: B0, B1, P trên toàn test, báo riêng thông thường/chẩn đoán; B1 và P dùng cùng hồ sơ của lượt; lượt 1 là bảng chính, lượt 2–3 trên m = min(30, n_test) claim chọn trước bằng seed, mỗi lượt trích xuất mới.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TN3: bốn ablation P−part, P−B, P−role, P−inherit trên hồ sơ trích xuất lượt 1, mỗi ablation chỉ đổi đúng một luật. TN4: P và B1 trên hồ sơ chuẩn viết tay cho claim chẩn đoán test và câu cha.</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Nên có/mở rộng: TN5 — BM25 không lọc sản phẩm trên kho cùng hãng; TN6 — B1/P với mô hình D thứ hai.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Chỉ số: FAR, Recall Supported, precision/recall/F1 từng nhãn, Macro-F1, FAR theo loại thao tác, ΔFAR và ΔRecall, McNemar (mô tả), tỷ lệ đổi nhãn giữa các lượt, Cohen’s κ, số lượt gọi, token, thời gian và chi phí.</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ERROR/NO_OUTPUT là lớp riêng, tính sai với mọi nhãn vàng; báo thêm phân tích độ nhạy coi ERROR là Supported khi tính FAR, và đối chiếu trên tập mẫu mọi bản đều xử lý hợp lệ.</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Bất định: bootstrap theo họ sản phẩm (B = 10.000), báo kèm số liệu từng họ và leave-one-family-out; khi số họ ít, không gọi khoảng này là khoảng tin cậy chặt và không tuyên bố ý nghĩa thống kê.</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Kết quả mong đợi: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3"/>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 nguồn, tập claim có nhãn và provenance, hướng dẫn nhãn v2 có mã băm, nhật ký tìm nguồn cho NEI và số liệu độ tin cậy nhãn (hoặc ghi rõ giới hạn nếu thiếu người gán thứ hai).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3"/>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Chương trình dòng lệnh/notebook tái lập được: trả nhãn, nei_type, mã đoạn nguồn, lý do và dấu vết A–B–C cho từng claim; lỗi kỹ thuật hiển thị riêng.</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3"/>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Bảng TN1–TN4 (và TN5 nếu có) trên test đã khóa, mọi số truy được về file kết quả; báo cáo mô tả P thay đổi FAR và Recall Supported so với B1/B0 thế nào, kể cả khi không cải thiện hoặc có đánh đổi.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3"/>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 lỗi trên mẫu chọn trước (sai sản phẩm, sai trích xuất, sai luật, sai nhãn chuẩn), luận văn, slide và gói bàn giao. Demo web và tách claim tự động chỉ là mở rộng, không phải điều kiện hoàn thành.</w:t>
            </w:r>
          </w:p>
        </w:tc>
      </w:tr>
      <w:tr>
        <w:trPr>
          <w:cantSplit w:val="0"/>
          <w:tblHeader w:val="0"/>
        </w:trPr>
        <w:tc>
          <w:tcPr>
            <w:gridSpan w:val="2"/>
            <w:tcBorders>
              <w:top w:color="000000" w:space="0" w:sz="0" w:val="nil"/>
              <w:bottom w:color="000000" w:space="0" w:sz="4" w:val="single"/>
            </w:tcBorders>
            <w:tcMar>
              <w:top w:w="0.0" w:type="dxa"/>
              <w:left w:w="90.0" w:type="dxa"/>
              <w:bottom w:w="55.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Bàn giao mã nguồn, cấu hình, dữ liệu được phép chia sẻ (hoặc URL + mã băm cho snapshot), hướng dẫn gán nhãn và hướng dẫn chạy lại; mỗi lần chạy lưu run_manifest gồm nhà cung cấp, mã mô hình, prompt, tham số, commit và mã băm dữ liệu.</w:t>
            </w:r>
          </w:p>
        </w:tc>
      </w:tr>
      <w:tr>
        <w:trPr>
          <w:cantSplit w:val="0"/>
          <w:tblHeader w:val="0"/>
        </w:trPr>
        <w:tc>
          <w:tcPr>
            <w:gridSpan w:val="2"/>
            <w:tcBorders>
              <w:top w:color="000000" w:space="0" w:sz="4" w:val="single"/>
              <w:bottom w:color="000000" w:space="0" w:sz="0" w:val="nil"/>
            </w:tcBorders>
            <w:tcMar>
              <w:top w:w="55.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Kế hoạch thực hiện (DỰ THẢO — cần GVHD xác nhận):</w:t>
            </w:r>
            <w:r>
              <w:rPr>
                <w:rFonts w:ascii="Times New Roman" w:cs="Times New Roman" w:eastAsia="Times New Roman" w:hAnsi="Times New Roman"/>
                <w:sz w:val="26"/>
                <w:szCs w:val="26"/>
                <w:rtl w:val="0"/>
              </w:rPr>
              <w:t xml:space="preserve"> một sinh viên thực hiện toàn bộ. Lịch tính từ 08/10/2026 trong thời gian đã đăng ký (15/09–31/12/2026); hạn nộp và ngày bảo vệ chính thức của Khoa chưa được xác minh, lịch sẽ dời theo thông báo. Một giai đoạn chỉ “qua” khi có đủ đầu ra kiểm được.</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G0 Khởi động (08–12/10)</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Gửi email và các câu hỏi cần chốt cho GVHD kèm bản kế hoạch này; thu hồi khóa API cũ từng lộ trong lịch sử Git, tạo khóa mới trong .env, kiểm tra .gitignore; ghi quyết định vào notes/decisions.md.</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G1 Khảo sát và chốt thiết kế (08–24/10)</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Đọc lại [1]–[6] và các bài bổ sung, lập bảng đối chiếu có trang/mục; kiểm lại metadata [12], [13]; chốt trạng thái QĐ1–QĐ12.</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G2 Môi trường (13–24/10)</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Tạo môi trường, chọn nhà cung cấp và mô hình G, D (JSON hợp lệ ≥ 95% trên dev, G khác họ với D); smoke test chạy hết B0/B1/P trên ví dụ, có run_manifest.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G3 Nguồn (13/10–07/11)</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Danh sách họ sản phẩm, snapshot và mã băm nguồn, chuẩn hóa và chia đoạn; có ít nhất 3 họ dev trước 31/10; thử hãng ngoài Apple sớm.</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G4 Pilot (27/10–09/11)</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Lô 0 quảng cáo, gán nhãn dev, bản thử BM25/trích xuất/P/B0/B1; đo công sức gán nhãn, tỷ lệ lỗi JSON, recall@k trên dev.</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Đầu ra 09/11: báo cáo pilot và quyết định quy mô; nếu không đạt điều kiện thì kích hoạt phương án dự phòng ngay.</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G5 Dữ liệu đủ (10–30/11)</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và gán nhãn cho mọi họ đến sàn đã chốt; người gán thứ hai/tự nhất quán; hồ sơ chuẩn cho tập chẩn đoán; test không còn mẫu chờ duyệt.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G6 Khóa giao thức (01–06/12)</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Ghi protocol_lock.json (mã băm hướng dẫn nhãn, prompt, cấu hình, tập chia, nhãn, đoạn, commit, danh sách claim lặp); chạy val một lần.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G7 Thực nghiệm (07–13/12)</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Chạy TN1–TN4 (và TN5 nếu kịp) trên test đã khóa, đủ output cho mọi mẫu; sau khóa không chỉnh luật, prompt hay nhãn theo kết quả test.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G8 Phân tích và viết (14–24/12)</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 lỗi, hoàn thiện luận văn; Chương 1–2 viết từ 25/10, Chương 3 từ 16/11; mọi số trong văn bản truy được về file kết quả.</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G9 Bàn giao và chuẩn bị bảo vệ (25–31/12)</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Gói tái lập chạy lại được trên bản sao mới, slide, demo dòng lệnh, danh sách câu hỏi phản biện có số liệu.</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Công sức:</w:t>
            </w:r>
            <w:r>
              <w:rPr>
                <w:rFonts w:ascii="Times New Roman" w:cs="Times New Roman" w:eastAsia="Times New Roman" w:hAnsi="Times New Roman"/>
                <w:sz w:val="26"/>
                <w:szCs w:val="26"/>
                <w:rtl w:val="0"/>
              </w:rPr>
              <w:t xml:space="preserve"> ước lượng ≈ 230–380 giờ, tương đương ≈ 20–30 giờ/tuần trong khoảng 12 tuần còn lại. Nếu chỉ có 12–15 giờ/tuần: giữ phần cốt lõi, bỏ phần nên có/mở rộng và xin GVHD dời mốc hoặc áp dụng phương án dự phòng ngay sau pilot.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Rủi ro và hành động (mốc quản lý, chưa phải kết quả)</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Hãng thứ hai thiếu tài liệu văn bản (&lt; 3 thuộc tính có số): thử hãng khác; nếu tổng số họ có nguồn &lt; 6 thì thu hẹp kết luận thành “trong tài liệu Apple”, giữ RQ2–RQ3 và tập chẩn đoán.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Gán nhãn chậm (pilot &gt; 12 phút/claim) hoặc không đạt sàn: giảm claim thông thường ở test, giữ tập chẩn đoán và TN2–TN4; không cắt TN3/TN4.</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Trích xuất lỗi nhiều (ERROR dev &gt; 5% hoặc &lt; 80% trường đúng): sửa prompt/schema hoặc đổi mô hình D trên dev, trước khi khóa.</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có người gán thứ hai: dùng tự nhất quán và ghi giới hạn. API đổi mô hình hoặc giá: ghi vào manifest, chạy lại đồng bộ mọi phương pháp.</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Ít họ test (&lt; 5): báo leave-one-family-out và số đếm thô, hạ mức kết luận. Trễ viết: cố định 3 giờ/tuần cho luận văn từ G1.</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Các điểm cần GVHD xác nhận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Trọng tâm đóng góp C* và RQ1–RQ3; luật inherit_headline; dùng nguồn thị trường khác khi không có trang VN (chỉ khi đúng mẫu, ghi market_substitute và lý do).</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mô theo sàn test chốt sau pilot (09/11); hãng ngoài Apple; lịch G0–G9 so với hạn chính thức của Khoa; ngân sách API tối đa [SINH VIÊN ĐIỀN]; cách chia sẻ snapshot nguồn và PDF bài báo.</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Tài liệu tham khảo</w:t>
            </w:r>
          </w:p>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 T. T. Nguyen, H. Nguyen Thi Phuong, T. P. Le, and B. T. Nguyen, “Fact-checking for online advertisement posts,” in </w:t>
            </w:r>
            <w:r>
              <w:rPr>
                <w:rFonts w:ascii="Times New Roman" w:cs="Times New Roman" w:eastAsia="Times New Roman" w:hAnsi="Times New Roman"/>
                <w:i w:val="1"/>
                <w:iCs w:val="1"/>
                <w:sz w:val="26"/>
                <w:szCs w:val="26"/>
                <w:rtl w:val="0"/>
              </w:rPr>
              <w:t xml:space="preserve">Proc. 38th Pacific Asia Conf. on Language, Information and Computation (PACLIC)</w:t>
            </w:r>
            <w:r>
              <w:rPr>
                <w:rFonts w:ascii="Times New Roman" w:cs="Times New Roman" w:eastAsia="Times New Roman" w:hAnsi="Times New Roman"/>
                <w:sz w:val="26"/>
                <w:szCs w:val="26"/>
                <w:rtl w:val="0"/>
              </w:rPr>
              <w:t xml:space="preserve">, 2024, pp. 398–406. </w:t>
            </w:r>
            <w:hyperlink r:id="rId16">
              <w:r>
                <w:rPr>
                  <w:rFonts w:ascii="Times New Roman" w:cs="Times New Roman" w:eastAsia="Times New Roman" w:hAnsi="Times New Roman"/>
                  <w:color w:val="1155cc"/>
                  <w:u w:val="single"/>
                  <w:sz w:val="26"/>
                  <w:szCs w:val="26"/>
                  <w:rtl w:val="0"/>
                </w:rPr>
                <w:t xml:space="preserve">https://aclanthology.org/2024.paclic-1.40/</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 K. Mitra, D. Zhang, S. Rahman, and E. Hruschka, “FactLens: Benchmarking fine-grained fact verification,” in </w:t>
            </w:r>
            <w:r>
              <w:rPr>
                <w:rFonts w:ascii="Times New Roman" w:cs="Times New Roman" w:eastAsia="Times New Roman" w:hAnsi="Times New Roman"/>
                <w:i w:val="1"/>
                <w:iCs w:val="1"/>
                <w:sz w:val="26"/>
                <w:szCs w:val="26"/>
                <w:rtl w:val="0"/>
              </w:rPr>
              <w:t xml:space="preserve">Findings of ACL 2025</w:t>
            </w:r>
            <w:r>
              <w:rPr>
                <w:rFonts w:ascii="Times New Roman" w:cs="Times New Roman" w:eastAsia="Times New Roman" w:hAnsi="Times New Roman"/>
                <w:sz w:val="26"/>
                <w:szCs w:val="26"/>
                <w:rtl w:val="0"/>
              </w:rPr>
              <w:t xml:space="preserve">, 2025, pp. 18085–18096. </w:t>
            </w:r>
            <w:hyperlink r:id="rId17">
              <w:r>
                <w:rPr>
                  <w:rFonts w:ascii="Times New Roman" w:cs="Times New Roman" w:eastAsia="Times New Roman" w:hAnsi="Times New Roman"/>
                  <w:color w:val="1155cc"/>
                  <w:u w:val="single"/>
                  <w:sz w:val="26"/>
                  <w:szCs w:val="26"/>
                  <w:rtl w:val="0"/>
                </w:rPr>
                <w:t xml:space="preserve">https://doi.org/10.18653/v1/2025.findings-acl.929</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 P. Chungkham, V. V, V. Setty, and A. Anand, “Think right, not more: Test-time scaling for numerical claim verification,” in </w:t>
            </w:r>
            <w:r>
              <w:rPr>
                <w:rFonts w:ascii="Times New Roman" w:cs="Times New Roman" w:eastAsia="Times New Roman" w:hAnsi="Times New Roman"/>
                <w:i w:val="1"/>
                <w:iCs w:val="1"/>
                <w:sz w:val="26"/>
                <w:szCs w:val="26"/>
                <w:rtl w:val="0"/>
              </w:rPr>
              <w:t xml:space="preserve">Findings of EMNLP 2025</w:t>
            </w:r>
            <w:r>
              <w:rPr>
                <w:rFonts w:ascii="Times New Roman" w:cs="Times New Roman" w:eastAsia="Times New Roman" w:hAnsi="Times New Roman"/>
                <w:sz w:val="26"/>
                <w:szCs w:val="26"/>
                <w:rtl w:val="0"/>
              </w:rPr>
              <w:t xml:space="preserve">, 2025, pp. 24345–24363. </w:t>
            </w:r>
            <w:hyperlink r:id="rId18">
              <w:r>
                <w:rPr>
                  <w:rFonts w:ascii="Times New Roman" w:cs="Times New Roman" w:eastAsia="Times New Roman" w:hAnsi="Times New Roman"/>
                  <w:color w:val="1155cc"/>
                  <w:u w:val="single"/>
                  <w:sz w:val="26"/>
                  <w:szCs w:val="26"/>
                  <w:rtl w:val="0"/>
                </w:rPr>
                <w:t xml:space="preserve">https://doi.org/10.18653/v1/2025.findings-emnlp.1322</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 J. Sun, G. Warren, I. Shklovski, and I. Augenstein, “Explaining sources of uncertainty in automated fact-checking,” in </w:t>
            </w:r>
            <w:r>
              <w:rPr>
                <w:rFonts w:ascii="Times New Roman" w:cs="Times New Roman" w:eastAsia="Times New Roman" w:hAnsi="Times New Roman"/>
                <w:i w:val="1"/>
                <w:iCs w:val="1"/>
                <w:sz w:val="26"/>
                <w:szCs w:val="26"/>
                <w:rtl w:val="0"/>
              </w:rPr>
              <w:t xml:space="preserve">Proc. 64th Annual Meeting of the ACL (Volume 1: Long Papers)</w:t>
            </w:r>
            <w:r>
              <w:rPr>
                <w:rFonts w:ascii="Times New Roman" w:cs="Times New Roman" w:eastAsia="Times New Roman" w:hAnsi="Times New Roman"/>
                <w:sz w:val="26"/>
                <w:szCs w:val="26"/>
                <w:rtl w:val="0"/>
              </w:rPr>
              <w:t xml:space="preserve">, 2026, pp. 45510–45534. </w:t>
            </w:r>
            <w:hyperlink r:id="rId19">
              <w:r>
                <w:rPr>
                  <w:rFonts w:ascii="Times New Roman" w:cs="Times New Roman" w:eastAsia="Times New Roman" w:hAnsi="Times New Roman"/>
                  <w:color w:val="1155cc"/>
                  <w:u w:val="single"/>
                  <w:sz w:val="26"/>
                  <w:szCs w:val="26"/>
                  <w:rtl w:val="0"/>
                </w:rPr>
                <w:t xml:space="preserve">https://doi.org/10.18653/v1/2026.acl-long.2110</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 S. Zhang et al., “CoVer: Conflict-aware claim verification,” arXiv:2609.00508, 2026. </w:t>
            </w:r>
            <w:hyperlink r:id="rId20">
              <w:r>
                <w:rPr>
                  <w:rFonts w:ascii="Times New Roman" w:cs="Times New Roman" w:eastAsia="Times New Roman" w:hAnsi="Times New Roman"/>
                  <w:color w:val="1155cc"/>
                  <w:u w:val="single"/>
                  <w:sz w:val="26"/>
                  <w:szCs w:val="26"/>
                  <w:rtl w:val="0"/>
                </w:rPr>
                <w:t xml:space="preserve">https://arxiv.org/abs/2609.00508</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 F. B. Rashid and S. Hakak, “Fathom: A fast and modular RAG pipeline for fact-checking,” in </w:t>
            </w:r>
            <w:r>
              <w:rPr>
                <w:rFonts w:ascii="Times New Roman" w:cs="Times New Roman" w:eastAsia="Times New Roman" w:hAnsi="Times New Roman"/>
                <w:i w:val="1"/>
                <w:iCs w:val="1"/>
                <w:sz w:val="26"/>
                <w:szCs w:val="26"/>
                <w:rtl w:val="0"/>
              </w:rPr>
              <w:t xml:space="preserve">Proc. Eighth Fact Extraction and VERification Workshop (FEVER)</w:t>
            </w:r>
            <w:r>
              <w:rPr>
                <w:rFonts w:ascii="Times New Roman" w:cs="Times New Roman" w:eastAsia="Times New Roman" w:hAnsi="Times New Roman"/>
                <w:sz w:val="26"/>
                <w:szCs w:val="26"/>
                <w:rtl w:val="0"/>
              </w:rPr>
              <w:t xml:space="preserve">, 2025, pp. 258–265. </w:t>
            </w:r>
            <w:hyperlink r:id="rId21">
              <w:r>
                <w:rPr>
                  <w:rFonts w:ascii="Times New Roman" w:cs="Times New Roman" w:eastAsia="Times New Roman" w:hAnsi="Times New Roman"/>
                  <w:color w:val="1155cc"/>
                  <w:u w:val="single"/>
                  <w:sz w:val="26"/>
                  <w:szCs w:val="26"/>
                  <w:rtl w:val="0"/>
                </w:rPr>
                <w:t xml:space="preserve">https://doi.org/10.18653/v1/2025.fever-1.20</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 J. Thorne, A. Vlachos, C. Christodoulopoulos, and A. Mittal, “FEVER: a large-scale dataset for Fact Extraction and VERification,” in </w:t>
            </w:r>
            <w:r>
              <w:rPr>
                <w:rFonts w:ascii="Times New Roman" w:cs="Times New Roman" w:eastAsia="Times New Roman" w:hAnsi="Times New Roman"/>
                <w:i w:val="1"/>
                <w:iCs w:val="1"/>
                <w:sz w:val="26"/>
                <w:szCs w:val="26"/>
                <w:rtl w:val="0"/>
              </w:rPr>
              <w:t xml:space="preserve">Proc. NAACL-HLT</w:t>
            </w:r>
            <w:r>
              <w:rPr>
                <w:rFonts w:ascii="Times New Roman" w:cs="Times New Roman" w:eastAsia="Times New Roman" w:hAnsi="Times New Roman"/>
                <w:sz w:val="26"/>
                <w:szCs w:val="26"/>
                <w:rtl w:val="0"/>
              </w:rPr>
              <w:t xml:space="preserve">, 2018, pp. 809–819. </w:t>
            </w:r>
            <w:hyperlink r:id="rId22">
              <w:r>
                <w:rPr>
                  <w:rFonts w:ascii="Times New Roman" w:cs="Times New Roman" w:eastAsia="Times New Roman" w:hAnsi="Times New Roman"/>
                  <w:color w:val="1155cc"/>
                  <w:u w:val="single"/>
                  <w:sz w:val="26"/>
                  <w:szCs w:val="26"/>
                  <w:rtl w:val="0"/>
                </w:rPr>
                <w:t xml:space="preserve">https://aclanthology.org/N18-1074/</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[8] M. Schlichtkrull, Z. Guo, and A. Vlachos, “AVeriTeC: A dataset for real-world claim verification with evidence from the web,” in </w:t>
            </w:r>
            <w:r>
              <w:rPr>
                <w:rFonts w:ascii="Times New Roman" w:cs="Times New Roman" w:eastAsia="Times New Roman" w:hAnsi="Times New Roman"/>
                <w:i w:val="1"/>
                <w:iCs w:val="1"/>
                <w:sz w:val="26"/>
                <w:szCs w:val="26"/>
                <w:rtl w:val="0"/>
              </w:rPr>
              <w:t xml:space="preserve">NeurIPS Datasets and Benchmarks</w:t>
            </w:r>
            <w:r>
              <w:rPr>
                <w:rFonts w:ascii="Times New Roman" w:cs="Times New Roman" w:eastAsia="Times New Roman" w:hAnsi="Times New Roman"/>
                <w:sz w:val="26"/>
                <w:szCs w:val="26"/>
                <w:rtl w:val="0"/>
              </w:rPr>
              <w:t xml:space="preserve">, 2023. </w:t>
            </w:r>
            <w:hyperlink r:id="rId23">
              <w:r>
                <w:rPr>
                  <w:rFonts w:ascii="Times New Roman" w:cs="Times New Roman" w:eastAsia="Times New Roman" w:hAnsi="Times New Roman"/>
                  <w:color w:val="1155cc"/>
                  <w:u w:val="single"/>
                  <w:sz w:val="26"/>
                  <w:szCs w:val="26"/>
                  <w:rtl w:val="0"/>
                </w:rPr>
                <w:t xml:space="preserve">https://arxiv.org/abs/2305.13117</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[9] T. T. Hoa et al., “ViFactCheck: A new benchmark dataset and methods for multi-domain news fact-checking in Vietnamese,” arXiv:2412.15308, 2024 (accepted at AAAI 2025). </w:t>
            </w:r>
            <w:hyperlink r:id="rId24">
              <w:r>
                <w:rPr>
                  <w:rFonts w:ascii="Times New Roman" w:cs="Times New Roman" w:eastAsia="Times New Roman" w:hAnsi="Times New Roman"/>
                  <w:color w:val="1155cc"/>
                  <w:u w:val="single"/>
                  <w:sz w:val="26"/>
                  <w:szCs w:val="26"/>
                  <w:rtl w:val="0"/>
                </w:rPr>
                <w:t xml:space="preserve">https://arxiv.org/abs/2412.15308</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[10] H. T. Le et al., “ViWikiFC: Fact-checking for Vietnamese Wikipedia-based textual knowledge source,” arXiv:2405.07615v2, 2026. </w:t>
            </w:r>
            <w:hyperlink r:id="rId25">
              <w:r>
                <w:rPr>
                  <w:rFonts w:ascii="Times New Roman" w:cs="Times New Roman" w:eastAsia="Times New Roman" w:hAnsi="Times New Roman"/>
                  <w:color w:val="1155cc"/>
                  <w:u w:val="single"/>
                  <w:sz w:val="26"/>
                  <w:szCs w:val="26"/>
                  <w:rtl w:val="0"/>
                </w:rPr>
                <w:t xml:space="preserve">https://arxiv.org/abs/2405.07615v2</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[11] N. N.-P. Luong et al., “ViNumFCR: A novel Vietnamese benchmark for numerical reasoning fact checking on social media news,” in </w:t>
            </w:r>
            <w:r>
              <w:rPr>
                <w:rFonts w:ascii="Times New Roman" w:cs="Times New Roman" w:eastAsia="Times New Roman" w:hAnsi="Times New Roman"/>
                <w:i w:val="1"/>
                <w:iCs w:val="1"/>
                <w:sz w:val="26"/>
                <w:szCs w:val="26"/>
                <w:rtl w:val="0"/>
              </w:rPr>
              <w:t xml:space="preserve">Proc. INLG</w:t>
            </w:r>
            <w:r>
              <w:rPr>
                <w:rFonts w:ascii="Times New Roman" w:cs="Times New Roman" w:eastAsia="Times New Roman" w:hAnsi="Times New Roman"/>
                <w:sz w:val="26"/>
                <w:szCs w:val="26"/>
                <w:rtl w:val="0"/>
              </w:rPr>
              <w:t xml:space="preserve">, 2025, pp. 134–147. </w:t>
            </w:r>
            <w:hyperlink r:id="rId26">
              <w:r>
                <w:rPr>
                  <w:rFonts w:ascii="Times New Roman" w:cs="Times New Roman" w:eastAsia="Times New Roman" w:hAnsi="Times New Roman"/>
                  <w:color w:val="1155cc"/>
                  <w:u w:val="single"/>
                  <w:sz w:val="26"/>
                  <w:szCs w:val="26"/>
                  <w:rtl w:val="0"/>
                </w:rPr>
                <w:t xml:space="preserve">https://aclanthology.org/2025.inlg-main.9/</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[12] T. Schuster, A. Fisch, and R. Barzilay, “Get your vitamin C! Robust fact verification with contrastive evidence,” in </w:t>
            </w:r>
            <w:r>
              <w:rPr>
                <w:rFonts w:ascii="Times New Roman" w:cs="Times New Roman" w:eastAsia="Times New Roman" w:hAnsi="Times New Roman"/>
                <w:i w:val="1"/>
                <w:iCs w:val="1"/>
                <w:sz w:val="26"/>
                <w:szCs w:val="26"/>
                <w:rtl w:val="0"/>
              </w:rPr>
              <w:t xml:space="preserve">Proc. NAACL-HLT</w:t>
            </w:r>
            <w:r>
              <w:rPr>
                <w:rFonts w:ascii="Times New Roman" w:cs="Times New Roman" w:eastAsia="Times New Roman" w:hAnsi="Times New Roman"/>
                <w:sz w:val="26"/>
                <w:szCs w:val="26"/>
                <w:rtl w:val="0"/>
              </w:rPr>
              <w:t xml:space="preserve">, 2021, pp. 624–643. </w:t>
            </w:r>
            <w:hyperlink r:id="rId27">
              <w:r>
                <w:rPr>
                  <w:rFonts w:ascii="Times New Roman" w:cs="Times New Roman" w:eastAsia="Times New Roman" w:hAnsi="Times New Roman"/>
                  <w:color w:val="1155cc"/>
                  <w:u w:val="single"/>
                  <w:sz w:val="26"/>
                  <w:szCs w:val="26"/>
                  <w:rtl w:val="0"/>
                </w:rPr>
                <w:t xml:space="preserve">https://aclanthology.org/2021.naacl-main.52/</w:t>
              </w:r>
            </w:hyperlink>
            <w:r>
              <w:rPr>
                <w:rFonts w:ascii="Times New Roman" w:cs="Times New Roman" w:eastAsia="Times New Roman" w:hAnsi="Times New Roman"/>
                <w:sz w:val="26"/>
                <w:szCs w:val="26"/>
                <w:rtl w:val="0"/>
              </w:rPr>
              <w:t xml:space="preserve"> (chưa đọc toàn văn; cần kiểm lại trang).</w:t>
            </w:r>
          </w:p>
        </w:tc>
      </w:tr>
      <w:tr>
        <w:trPr>
          <w:cantSplit w:val="0"/>
          <w:tblHeader w:val="0"/>
        </w:trPr>
        <w:tc>
          <w:tcPr>
            <w:gridSpan w:val="2"/>
            <w:tcBorders>
              <w:top w:color="000000" w:space="0" w:sz="0" w:val="nil"/>
              <w:bottom w:color="000000" w:space="0" w:sz="4" w:val="single"/>
            </w:tcBorders>
            <w:tcMar>
              <w:top w:w="0.0" w:type="dxa"/>
              <w:left w:w="90.0" w:type="dxa"/>
              <w:bottom w:w="55.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[13] Aarnes and V. Setty, arXiv:2610.00689, 2026 (AACL-IJCNLP 2026 Findings). [SINH VIÊN ĐIỀN: tên tác giả đầy đủ và tên bài; chưa đọc toàn văn, cần kiểm.]</w:t>
            </w:r>
          </w:p>
        </w:tc>
      </w:tr>
      <w:tr>
        <w:trPr>
          <w:cantSplit w:val="1"/>
          <w:tblHeader w:val="0"/>
        </w:trPr>
        <w:tc>
          <w:tcPr>
            <w:tcMar>
              <w:top w:w="55.0" w:type="dxa"/>
              <w:left w:w="90.0" w:type="dxa"/>
              <w:bottom w:w="55.0" w:type="dxa"/>
              <w:right w:w="90.0" w:type="dxa"/>
            </w:tcMar>
          </w:tcPr>
          <w:p w:rsidR="00000000" w:rsidDel="00000000" w:rsidP="00000000" w:rsidRDefault="00000000" w:rsidRPr="00000000" w14:paraId="000000DD">
            <w:pPr>
              <w:keepNext w:val="1"/>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nhận của CBHD</w:t>
            </w:r>
          </w:p>
          <w:p w:rsidR="00000000" w:rsidDel="00000000" w:rsidP="00000000" w:rsidRDefault="00000000" w:rsidRPr="00000000" w14:paraId="000000DE">
            <w:pPr>
              <w:keepNext w:val="1"/>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(Ký tên và ghi rõ họ tên)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F">
            <w:pPr>
              <w:keepNext w:val="1"/>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TP. HCM, ngày ….. tháng 10 năm 2026</w:t>
            </w:r>
          </w:p>
          <w:p w:rsidR="00000000" w:rsidDel="00000000" w:rsidP="00000000" w:rsidRDefault="00000000" w:rsidRPr="00000000" w14:paraId="000000E0">
            <w:pPr>
              <w:keepNext w:val="1"/>
              <w:tabs>
                <w:tab w:val="center" w:leader="none" w:pos="1439"/>
              </w:tabs>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p w:rsidR="00000000" w:rsidDel="00000000" w:rsidP="00000000" w:rsidRDefault="00000000" w:rsidRPr="00000000" w14:paraId="000000E1">
            <w:pPr>
              <w:keepNext w:val="1"/>
              <w:tabs>
                <w:tab w:val="center" w:leader="none" w:pos="1439"/>
              </w:tabs>
              <w:spacing w:after="100" w:line="278.00000000000006" w:lineRule="auto"/>
              <w:ind w:right="10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Phước</w:t>
            </w:r>
          </w:p>
          <w:p w:rsidR="00000000" w:rsidDel="00000000" w:rsidP="00000000" w:rsidRDefault="00000000" w:rsidRPr="00000000" w14:paraId="000000E2">
            <w:pPr>
              <w:keepNext w:val="1"/>
              <w:tabs>
                <w:tab w:val="center" w:leader="none" w:pos="1439"/>
              </w:tabs>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Bùi Lê Huy Phước</w:t>
            </w:r>
            <w:r w:rsidDel="00000000" w:rsidR="00000000" w:rsidRPr="00000000">
              <w:rPr>
                <w:rtl w:val="0"/>
              </w:rPr>
            </w:r>
          </w:p>
        </w:tc>
      </w:tr>
    </w:tbl>
    <w:p w:rsidR="00000000" w:rsidDel="00000000" w:rsidP="00000000" w:rsidRDefault="00000000" w:rsidRPr="00000000" w14:paraId="000000E3">
      <w:pPr>
        <w:widowControl w:val="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8653/v1/2025.findings-emnlp.1322" TargetMode="External"/><Relationship Id="rId10" Type="http://schemas.openxmlformats.org/officeDocument/2006/relationships/hyperlink" Target="https://doi.org/10.18653/v1/2025.findings-emnlp.1322" TargetMode="External"/><Relationship Id="rId13" Type="http://schemas.openxmlformats.org/officeDocument/2006/relationships/hyperlink" Target="https://arxiv.org/abs/2609.00508" TargetMode="External"/><Relationship Id="rId12" Type="http://schemas.openxmlformats.org/officeDocument/2006/relationships/hyperlink" Target="https://doi.org/10.18653/v1/2026.acl-long.21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8653/v1/2025.findings-acl.929" TargetMode="External"/><Relationship Id="rId15" Type="http://schemas.openxmlformats.org/officeDocument/2006/relationships/hyperlink" Target="https://doi.org/10.18653/v1/2025.fever-1.20" TargetMode="External"/><Relationship Id="rId14" Type="http://schemas.openxmlformats.org/officeDocument/2006/relationships/hyperlink" Target="https://arxiv.org/abs/2609.00508" TargetMode="External"/><Relationship Id="rId5" Type="http://schemas.openxmlformats.org/officeDocument/2006/relationships/styles" Target="styles.xml"/><Relationship Id="rId6" Type="http://schemas.openxmlformats.org/officeDocument/2006/relationships/hyperlink" Target="https://aclanthology.org/2024.paclic-1.40/" TargetMode="External"/><Relationship Id="rId7" Type="http://schemas.openxmlformats.org/officeDocument/2006/relationships/hyperlink" Target="https://aclanthology.org/2024.paclic-1.40/" TargetMode="External"/><Relationship Id="rId8" Type="http://schemas.openxmlformats.org/officeDocument/2006/relationships/hyperlink" Target="https://doi.org/10.18653/v1/2025.findings-acl.929" TargetMode="External"/><Relationship Id="rId16" Type="http://schemas.openxmlformats.org/officeDocument/2006/relationships/hyperlink" Target="https://aclanthology.org/2024.paclic-1.40/" TargetMode="External"/><Relationship Id="rId17" Type="http://schemas.openxmlformats.org/officeDocument/2006/relationships/hyperlink" Target="https://doi.org/10.18653/v1/2025.findings-acl.929" TargetMode="External"/><Relationship Id="rId18" Type="http://schemas.openxmlformats.org/officeDocument/2006/relationships/hyperlink" Target="https://doi.org/10.18653/v1/2025.findings-emnlp.1322" TargetMode="External"/><Relationship Id="rId19" Type="http://schemas.openxmlformats.org/officeDocument/2006/relationships/hyperlink" Target="https://doi.org/10.18653/v1/2026.acl-long.2110" TargetMode="External"/><Relationship Id="rId20" Type="http://schemas.openxmlformats.org/officeDocument/2006/relationships/hyperlink" Target="https://arxiv.org/abs/2609.00508" TargetMode="External"/><Relationship Id="rId21" Type="http://schemas.openxmlformats.org/officeDocument/2006/relationships/hyperlink" Target="https://doi.org/10.18653/v1/2025.fever-1.20" TargetMode="External"/><Relationship Id="rId22" Type="http://schemas.openxmlformats.org/officeDocument/2006/relationships/hyperlink" Target="https://aclanthology.org/N18-1074/" TargetMode="External"/><Relationship Id="rId23" Type="http://schemas.openxmlformats.org/officeDocument/2006/relationships/hyperlink" Target="https://arxiv.org/abs/2305.13117" TargetMode="External"/><Relationship Id="rId24" Type="http://schemas.openxmlformats.org/officeDocument/2006/relationships/hyperlink" Target="https://arxiv.org/abs/2412.15308" TargetMode="External"/><Relationship Id="rId25" Type="http://schemas.openxmlformats.org/officeDocument/2006/relationships/hyperlink" Target="https://arxiv.org/abs/2405.07615v2" TargetMode="External"/><Relationship Id="rId26" Type="http://schemas.openxmlformats.org/officeDocument/2006/relationships/hyperlink" Target="https://aclanthology.org/2025.inlg-main.9/" TargetMode="External"/><Relationship Id="rId27" Type="http://schemas.openxmlformats.org/officeDocument/2006/relationships/hyperlink" Target="https://aclanthology.org/2021.naacl-main.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